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21A" w:rsidRDefault="00EA319E">
      <w:pPr>
        <w:rPr>
          <w:rFonts w:ascii="Arial" w:eastAsia="Arial" w:hAnsi="Arial" w:cs="Arial"/>
          <w:b/>
          <w:sz w:val="36"/>
          <w:szCs w:val="36"/>
        </w:rPr>
      </w:pPr>
      <w:bookmarkStart w:id="0" w:name="_gjdgxs" w:colFirst="0" w:colLast="0"/>
      <w:bookmarkStart w:id="1" w:name="_GoBack"/>
      <w:bookmarkEnd w:id="0"/>
      <w:bookmarkEnd w:id="1"/>
      <w:r>
        <w:rPr>
          <w:rFonts w:ascii="Arial" w:eastAsia="Arial" w:hAnsi="Arial" w:cs="Arial"/>
          <w:b/>
          <w:sz w:val="36"/>
          <w:szCs w:val="36"/>
        </w:rPr>
        <w:t>Joint Schedule 1 (Definitions)</w:t>
      </w:r>
    </w:p>
    <w:p w:rsidR="001A521A" w:rsidRDefault="00EA319E">
      <w:pPr>
        <w:numPr>
          <w:ilvl w:val="1"/>
          <w:numId w:val="21"/>
        </w:numPr>
        <w:tabs>
          <w:tab w:val="left" w:pos="1134"/>
        </w:tabs>
        <w:spacing w:before="120" w:after="120" w:line="240" w:lineRule="auto"/>
        <w:ind w:left="284"/>
        <w:jc w:val="both"/>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rsidR="001A521A" w:rsidRDefault="00EA319E">
      <w:pPr>
        <w:numPr>
          <w:ilvl w:val="1"/>
          <w:numId w:val="21"/>
        </w:numPr>
        <w:tabs>
          <w:tab w:val="left" w:pos="1134"/>
        </w:tabs>
        <w:spacing w:before="120" w:after="120" w:line="240" w:lineRule="auto"/>
        <w:ind w:left="284"/>
        <w:jc w:val="both"/>
      </w:pPr>
      <w:bookmarkStart w:id="2" w:name="_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1A521A" w:rsidRDefault="00EA319E">
      <w:pPr>
        <w:keepNext/>
        <w:numPr>
          <w:ilvl w:val="1"/>
          <w:numId w:val="21"/>
        </w:numPr>
        <w:tabs>
          <w:tab w:val="left" w:pos="1134"/>
        </w:tabs>
        <w:spacing w:before="120" w:after="120" w:line="240" w:lineRule="auto"/>
        <w:ind w:left="284"/>
        <w:jc w:val="both"/>
      </w:pPr>
      <w:r>
        <w:rPr>
          <w:rFonts w:ascii="Arial" w:eastAsia="Arial" w:hAnsi="Arial" w:cs="Arial"/>
          <w:color w:val="000000"/>
          <w:sz w:val="24"/>
          <w:szCs w:val="24"/>
        </w:rPr>
        <w:t>In each Contract, unless the context otherwise requires:</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the singular includes the plural and vice versa;</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reference to a gender includes the other gender and the neuter;</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references</w:t>
      </w:r>
      <w:r>
        <w:rPr>
          <w:rFonts w:ascii="Arial" w:eastAsia="Arial" w:hAnsi="Arial" w:cs="Arial"/>
          <w:color w:val="000000"/>
          <w:sz w:val="24"/>
          <w:szCs w:val="24"/>
        </w:rPr>
        <w:t xml:space="preserve">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w:t>
      </w:r>
      <w:r>
        <w:rPr>
          <w:rFonts w:ascii="Arial" w:eastAsia="Arial" w:hAnsi="Arial" w:cs="Arial"/>
          <w:color w:val="000000"/>
          <w:sz w:val="24"/>
          <w:szCs w:val="24"/>
        </w:rPr>
        <w:t xml:space="preserve">phs, annexes and tables of the Schedule in which these references appear; </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 xml:space="preserve">references to a series of Clauses or </w:t>
      </w:r>
      <w:r>
        <w:rPr>
          <w:rFonts w:ascii="Arial" w:eastAsia="Arial" w:hAnsi="Arial" w:cs="Arial"/>
          <w:color w:val="000000"/>
          <w:sz w:val="24"/>
          <w:szCs w:val="24"/>
        </w:rPr>
        <w:t>Paragraphs shall be inclusive of the clause numbers specified;</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where the Buyer is a Central Government Body it shall be tre</w:t>
      </w:r>
      <w:r>
        <w:rPr>
          <w:rFonts w:ascii="Arial" w:eastAsia="Arial" w:hAnsi="Arial" w:cs="Arial"/>
          <w:color w:val="000000"/>
          <w:sz w:val="24"/>
          <w:szCs w:val="24"/>
        </w:rPr>
        <w:t>ated as contracting with the Crown as a whole;</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lastRenderedPageBreak/>
        <w:t>any reference in a Contract which immediately before Exit Day is a reference to (as it has effect from time to time):</w:t>
      </w:r>
    </w:p>
    <w:p w:rsidR="001A521A" w:rsidRDefault="00EA319E">
      <w:pPr>
        <w:numPr>
          <w:ilvl w:val="3"/>
          <w:numId w:val="21"/>
        </w:numPr>
        <w:tabs>
          <w:tab w:val="left" w:pos="1985"/>
          <w:tab w:val="left" w:pos="2127"/>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w:t>
      </w:r>
      <w:r>
        <w:rPr>
          <w:rFonts w:ascii="Arial" w:eastAsia="Arial" w:hAnsi="Arial" w:cs="Arial"/>
          <w:color w:val="000000"/>
          <w:sz w:val="24"/>
          <w:szCs w:val="24"/>
        </w:rPr>
        <w:t xml:space="preserve"> a reference to the EU References as they form part of domestic law by virtue of section 3 of the European Union (Withdrawal) Act 2018 as modified by domestic law from time to time; and</w:t>
      </w:r>
    </w:p>
    <w:p w:rsidR="001A521A" w:rsidRDefault="00EA319E">
      <w:pPr>
        <w:numPr>
          <w:ilvl w:val="3"/>
          <w:numId w:val="21"/>
        </w:numPr>
        <w:tabs>
          <w:tab w:val="left" w:pos="1985"/>
          <w:tab w:val="left" w:pos="2127"/>
        </w:tabs>
        <w:spacing w:before="120" w:after="120" w:line="240" w:lineRule="auto"/>
        <w:ind w:left="2694" w:hanging="709"/>
        <w:jc w:val="both"/>
      </w:pPr>
      <w:r>
        <w:rPr>
          <w:rFonts w:ascii="Arial" w:eastAsia="Arial" w:hAnsi="Arial" w:cs="Arial"/>
          <w:color w:val="000000"/>
          <w:sz w:val="24"/>
          <w:szCs w:val="24"/>
        </w:rPr>
        <w:t>any EU institution or EU authority or other such EU body shall be read</w:t>
      </w:r>
      <w:r>
        <w:rPr>
          <w:rFonts w:ascii="Arial" w:eastAsia="Arial" w:hAnsi="Arial" w:cs="Arial"/>
          <w:color w:val="000000"/>
          <w:sz w:val="24"/>
          <w:szCs w:val="24"/>
        </w:rPr>
        <w:t xml:space="preserve"> on and after Exit Day as a reference to the UK institution, authority or body to which its functions were transferred; and</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1A521A" w:rsidRDefault="00EA319E">
      <w:pPr>
        <w:numPr>
          <w:ilvl w:val="2"/>
          <w:numId w:val="21"/>
        </w:numPr>
        <w:tabs>
          <w:tab w:val="left" w:pos="1985"/>
          <w:tab w:val="left" w:pos="2127"/>
        </w:tabs>
        <w:spacing w:before="120" w:after="120" w:line="240" w:lineRule="auto"/>
        <w:ind w:left="993"/>
        <w:jc w:val="both"/>
      </w:pPr>
      <w:r>
        <w:rPr>
          <w:rFonts w:ascii="Arial" w:eastAsia="Arial" w:hAnsi="Arial" w:cs="Arial"/>
          <w:color w:val="000000"/>
          <w:sz w:val="24"/>
          <w:szCs w:val="24"/>
        </w:rPr>
        <w:t>unless otherwise provided, refer</w:t>
      </w:r>
      <w:r>
        <w:rPr>
          <w:rFonts w:ascii="Arial" w:eastAsia="Arial" w:hAnsi="Arial" w:cs="Arial"/>
          <w:color w:val="000000"/>
          <w:sz w:val="24"/>
          <w:szCs w:val="24"/>
        </w:rPr>
        <w:t>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1A521A" w:rsidRDefault="00EA319E">
      <w:pPr>
        <w:keepNext/>
        <w:numPr>
          <w:ilvl w:val="1"/>
          <w:numId w:val="21"/>
        </w:numPr>
        <w:tabs>
          <w:tab w:val="left" w:pos="1134"/>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the following meanings:</w:t>
      </w:r>
    </w:p>
    <w:p w:rsidR="001A521A" w:rsidRDefault="001A521A">
      <w:pPr>
        <w:keepNext/>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1003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25"/>
        <w:gridCol w:w="7710"/>
      </w:tblGrid>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bookmarkStart w:id="3" w:name="_1fob9te" w:colFirst="0" w:colLast="0"/>
            <w:bookmarkEnd w:id="3"/>
            <w:r>
              <w:rPr>
                <w:rFonts w:ascii="Arial" w:eastAsia="Arial" w:hAnsi="Arial" w:cs="Arial"/>
                <w:b/>
                <w:color w:val="000000"/>
                <w:sz w:val="24"/>
                <w:szCs w:val="24"/>
              </w:rPr>
              <w:t>""Achieve"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jc w:val="center"/>
              <w:rPr>
                <w:rFonts w:ascii="Arial" w:eastAsia="Arial" w:hAnsi="Arial" w:cs="Arial"/>
                <w:b/>
                <w:color w:val="000000"/>
                <w:sz w:val="24"/>
                <w:szCs w:val="24"/>
              </w:rPr>
            </w:pPr>
            <w:r>
              <w:rPr>
                <w:rFonts w:ascii="Arial" w:eastAsia="Arial" w:hAnsi="Arial" w:cs="Arial"/>
                <w:b/>
                <w:sz w:val="24"/>
                <w:szCs w:val="24"/>
              </w:rPr>
              <w:t>“ACoP”</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ACoP describes the preferred or recommended methods that can be used (or standards to be met) to comply with regulations and the duties imposed by the Health and Safety at Work etc 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insurance requirements relating to a C</w:t>
            </w:r>
            <w:r>
              <w:rPr>
                <w:rFonts w:ascii="Arial" w:eastAsia="Arial" w:hAnsi="Arial" w:cs="Arial"/>
                <w:color w:val="000000"/>
                <w:sz w:val="24"/>
                <w:szCs w:val="24"/>
              </w:rPr>
              <w:t xml:space="preserve">all-Off Contract specified in the Order Form additional to those outlined in Joint Schedule 3 (Insurance Requirements);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""Admin Fee”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w:t>
            </w:r>
            <w:r>
              <w:rPr>
                <w:rFonts w:ascii="Arial" w:eastAsia="Arial" w:hAnsi="Arial" w:cs="Arial"/>
                <w:color w:val="000000"/>
                <w:sz w:val="24"/>
                <w:szCs w:val="24"/>
              </w:rPr>
              <w:t>arges published by the CCS on: http://CCS.cabinetoffice.gov.uk/i-am-supplier/management-information/admin-fees;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"Affected Party"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"Affiliates"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“Annex”</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“API's”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Application programming interface</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"Approval"</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“ATW's”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Authority to work</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"Audit"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verify the Open Book Data;</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verify the Supplier’s and each Subcontractor’s compliance with the applicable Law;</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identify or investigate actual or suspected breach of Claus</w:t>
            </w:r>
            <w:r>
              <w:rPr>
                <w:rFonts w:ascii="Arial" w:eastAsia="Arial" w:hAnsi="Arial" w:cs="Arial"/>
                <w:color w:val="000000"/>
                <w:sz w:val="24"/>
                <w:szCs w:val="24"/>
              </w:rPr>
              <w:t>es 27 to 33 and/or Joint Schedule 5 (Corporate Social Responsibility), impropriety or accounting mistakes or any breach or threatened breach of security and in these circumstances the Relevant Authority shall have no obligation to inform the Supplier of th</w:t>
            </w:r>
            <w:r>
              <w:rPr>
                <w:rFonts w:ascii="Arial" w:eastAsia="Arial" w:hAnsi="Arial" w:cs="Arial"/>
                <w:color w:val="000000"/>
                <w:sz w:val="24"/>
                <w:szCs w:val="24"/>
              </w:rPr>
              <w:t>e purpose or objective of its investigations;</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obtain such inform</w:t>
            </w:r>
            <w:r>
              <w:rPr>
                <w:rFonts w:ascii="Arial" w:eastAsia="Arial" w:hAnsi="Arial" w:cs="Arial"/>
                <w:color w:val="000000"/>
                <w:sz w:val="24"/>
                <w:szCs w:val="24"/>
              </w:rPr>
              <w:t>ation as is necessary to fulfil the Relevant Authority’s obligations to supply information for parliamentary, ministerial, judicial or administrative purposes including the supply of information to the Comptroller and Auditor General;</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review any books of a</w:t>
            </w:r>
            <w:r>
              <w:rPr>
                <w:rFonts w:ascii="Arial" w:eastAsia="Arial" w:hAnsi="Arial" w:cs="Arial"/>
                <w:color w:val="000000"/>
                <w:sz w:val="24"/>
                <w:szCs w:val="24"/>
              </w:rPr>
              <w:t>ccount and the internal contract management accounts kept by the Supplier in connection with each Contract;</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 xml:space="preserve">carry out the Relevant Authority’s internal and statutory audits and to prepare, examine and/or certify the Relevant Authority's annual and interim </w:t>
            </w:r>
            <w:r>
              <w:rPr>
                <w:rFonts w:ascii="Arial" w:eastAsia="Arial" w:hAnsi="Arial" w:cs="Arial"/>
                <w:color w:val="000000"/>
                <w:sz w:val="24"/>
                <w:szCs w:val="24"/>
              </w:rPr>
              <w:t>reports and accounts;</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1A521A" w:rsidRDefault="00EA319E">
            <w:pPr>
              <w:numPr>
                <w:ilvl w:val="0"/>
                <w:numId w:val="19"/>
              </w:numPr>
              <w:tabs>
                <w:tab w:val="left" w:pos="-179"/>
                <w:tab w:val="left" w:pos="-9"/>
              </w:tabs>
              <w:spacing w:after="120" w:line="240" w:lineRule="auto"/>
              <w:ind w:left="461" w:hanging="288"/>
              <w:rPr>
                <w:color w:val="000000"/>
              </w:rPr>
            </w:pPr>
            <w:r>
              <w:rPr>
                <w:rFonts w:ascii="Arial" w:eastAsia="Arial" w:hAnsi="Arial" w:cs="Arial"/>
                <w:color w:val="000000"/>
                <w:sz w:val="24"/>
                <w:szCs w:val="24"/>
              </w:rPr>
              <w:t xml:space="preserve">verify the </w:t>
            </w:r>
            <w:r>
              <w:rPr>
                <w:rFonts w:ascii="Arial" w:eastAsia="Arial" w:hAnsi="Arial" w:cs="Arial"/>
                <w:color w:val="000000"/>
                <w:sz w:val="24"/>
                <w:szCs w:val="24"/>
              </w:rPr>
              <w:t>accuracy and completeness of any Management Information delivered or required by the Framework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"Auditor"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numPr>
                <w:ilvl w:val="0"/>
                <w:numId w:val="10"/>
              </w:numPr>
              <w:tabs>
                <w:tab w:val="left" w:pos="-179"/>
                <w:tab w:val="left" w:pos="-9"/>
              </w:tabs>
              <w:spacing w:after="120" w:line="240" w:lineRule="auto"/>
              <w:ind w:left="501" w:hanging="331"/>
              <w:rPr>
                <w:color w:val="000000"/>
              </w:rPr>
            </w:pPr>
            <w:r>
              <w:rPr>
                <w:rFonts w:ascii="Arial" w:eastAsia="Arial" w:hAnsi="Arial" w:cs="Arial"/>
                <w:color w:val="000000"/>
                <w:sz w:val="24"/>
                <w:szCs w:val="24"/>
              </w:rPr>
              <w:t>the Buyer’s internal and external auditors;</w:t>
            </w:r>
          </w:p>
          <w:p w:rsidR="001A521A" w:rsidRDefault="00EA319E">
            <w:pPr>
              <w:numPr>
                <w:ilvl w:val="0"/>
                <w:numId w:val="10"/>
              </w:numPr>
              <w:tabs>
                <w:tab w:val="left" w:pos="-179"/>
                <w:tab w:val="left" w:pos="-9"/>
              </w:tabs>
              <w:spacing w:after="120" w:line="240" w:lineRule="auto"/>
              <w:ind w:left="461" w:hanging="288"/>
              <w:rPr>
                <w:color w:val="000000"/>
              </w:rPr>
            </w:pPr>
            <w:r>
              <w:rPr>
                <w:rFonts w:ascii="Arial" w:eastAsia="Arial" w:hAnsi="Arial" w:cs="Arial"/>
                <w:color w:val="000000"/>
                <w:sz w:val="24"/>
                <w:szCs w:val="24"/>
              </w:rPr>
              <w:t>the Buyer’s statutory or regulatory auditors;</w:t>
            </w:r>
          </w:p>
          <w:p w:rsidR="001A521A" w:rsidRDefault="00EA319E">
            <w:pPr>
              <w:numPr>
                <w:ilvl w:val="0"/>
                <w:numId w:val="10"/>
              </w:numPr>
              <w:tabs>
                <w:tab w:val="left" w:pos="-179"/>
                <w:tab w:val="left" w:pos="-9"/>
              </w:tabs>
              <w:spacing w:after="120" w:line="240" w:lineRule="auto"/>
              <w:ind w:left="461" w:hanging="288"/>
              <w:rPr>
                <w:color w:val="000000"/>
              </w:rPr>
            </w:pPr>
            <w:r>
              <w:rPr>
                <w:rFonts w:ascii="Arial" w:eastAsia="Arial" w:hAnsi="Arial" w:cs="Arial"/>
                <w:color w:val="000000"/>
                <w:sz w:val="24"/>
                <w:szCs w:val="24"/>
              </w:rPr>
              <w:t>the Comptroller and Auditor General, their staff and/or any appointed representatives of the National Audit Office;</w:t>
            </w:r>
          </w:p>
          <w:p w:rsidR="001A521A" w:rsidRDefault="00EA319E">
            <w:pPr>
              <w:numPr>
                <w:ilvl w:val="0"/>
                <w:numId w:val="10"/>
              </w:numPr>
              <w:tabs>
                <w:tab w:val="left" w:pos="-179"/>
                <w:tab w:val="left" w:pos="-9"/>
              </w:tabs>
              <w:spacing w:after="120" w:line="240" w:lineRule="auto"/>
              <w:ind w:left="461" w:hanging="288"/>
              <w:rPr>
                <w:color w:val="000000"/>
              </w:rPr>
            </w:pPr>
            <w:r>
              <w:rPr>
                <w:rFonts w:ascii="Arial" w:eastAsia="Arial" w:hAnsi="Arial" w:cs="Arial"/>
                <w:color w:val="000000"/>
                <w:sz w:val="24"/>
                <w:szCs w:val="24"/>
              </w:rPr>
              <w:t>HM Treasury or the Cabinet Office;</w:t>
            </w:r>
          </w:p>
          <w:p w:rsidR="001A521A" w:rsidRDefault="00EA319E">
            <w:pPr>
              <w:numPr>
                <w:ilvl w:val="0"/>
                <w:numId w:val="10"/>
              </w:numPr>
              <w:tabs>
                <w:tab w:val="left" w:pos="-179"/>
                <w:tab w:val="left" w:pos="-9"/>
              </w:tabs>
              <w:spacing w:after="120" w:line="240" w:lineRule="auto"/>
              <w:ind w:left="461" w:hanging="288"/>
              <w:rPr>
                <w:color w:val="000000"/>
              </w:rPr>
            </w:pPr>
            <w:r>
              <w:rPr>
                <w:rFonts w:ascii="Arial" w:eastAsia="Arial" w:hAnsi="Arial" w:cs="Arial"/>
                <w:color w:val="000000"/>
                <w:sz w:val="24"/>
                <w:szCs w:val="24"/>
              </w:rPr>
              <w:t>any party formally appointed by the Buyer to carry out audit or similar review functions; and</w:t>
            </w:r>
          </w:p>
          <w:p w:rsidR="001A521A" w:rsidRDefault="00EA319E">
            <w:pPr>
              <w:numPr>
                <w:ilvl w:val="0"/>
                <w:numId w:val="10"/>
              </w:numPr>
              <w:tabs>
                <w:tab w:val="left" w:pos="-179"/>
                <w:tab w:val="left" w:pos="-9"/>
              </w:tabs>
              <w:spacing w:after="120" w:line="240" w:lineRule="auto"/>
              <w:ind w:left="461" w:hanging="288"/>
              <w:rPr>
                <w:color w:val="000000"/>
              </w:rPr>
            </w:pPr>
            <w:r>
              <w:rPr>
                <w:rFonts w:ascii="Arial" w:eastAsia="Arial" w:hAnsi="Arial" w:cs="Arial"/>
                <w:color w:val="000000"/>
                <w:sz w:val="24"/>
                <w:szCs w:val="24"/>
              </w:rPr>
              <w:t xml:space="preserve">successors </w:t>
            </w:r>
            <w:r>
              <w:rPr>
                <w:rFonts w:ascii="Arial" w:eastAsia="Arial" w:hAnsi="Arial" w:cs="Arial"/>
                <w:color w:val="000000"/>
                <w:sz w:val="24"/>
                <w:szCs w:val="24"/>
              </w:rPr>
              <w:t>or assigns of any of the above;</w:t>
            </w:r>
          </w:p>
        </w:tc>
      </w:tr>
      <w:tr w:rsidR="001A521A">
        <w:trPr>
          <w:trHeight w:val="601"/>
        </w:trPr>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"Authority"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rPr>
                <w:rFonts w:ascii="Arial" w:eastAsia="Arial" w:hAnsi="Arial" w:cs="Arial"/>
                <w:sz w:val="24"/>
                <w:szCs w:val="24"/>
              </w:rPr>
            </w:pPr>
            <w:r>
              <w:rPr>
                <w:rFonts w:ascii="Arial" w:eastAsia="Arial" w:hAnsi="Arial" w:cs="Arial"/>
                <w:sz w:val="24"/>
                <w:szCs w:val="24"/>
              </w:rPr>
              <w:t>CCS and each Buyer;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ind w:left="-108"/>
              <w:jc w:val="cente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222222"/>
                <w:sz w:val="24"/>
                <w:szCs w:val="24"/>
              </w:rPr>
            </w:pPr>
            <w:r>
              <w:rPr>
                <w:rFonts w:ascii="Arial" w:eastAsia="Arial" w:hAnsi="Arial" w:cs="Arial"/>
                <w:b/>
                <w:color w:val="222222"/>
                <w:sz w:val="24"/>
                <w:szCs w:val="24"/>
              </w:rPr>
              <w:t>“B2IM”</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222222"/>
                <w:sz w:val="24"/>
                <w:szCs w:val="24"/>
              </w:rPr>
            </w:pPr>
            <w:r>
              <w:rPr>
                <w:rFonts w:ascii="Arial" w:eastAsia="Arial" w:hAnsi="Arial" w:cs="Arial"/>
                <w:color w:val="222222"/>
                <w:sz w:val="24"/>
                <w:szCs w:val="24"/>
              </w:rPr>
              <w:t>a functional model for asset information to enable alignment of BIM information models with facilities management and operational data.</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"BACS"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“BCDR Plan”</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Business Continuity and Disaster Recovery Plan</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"Beneficiary"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 Party having (or claiming to have) t</w:t>
            </w:r>
            <w:r>
              <w:rPr>
                <w:rFonts w:ascii="Arial" w:eastAsia="Arial" w:hAnsi="Arial" w:cs="Arial"/>
                <w:color w:val="000000"/>
                <w:sz w:val="24"/>
                <w:szCs w:val="24"/>
              </w:rPr>
              <w:t>he benefit of an indemnity under this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“BMS”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sz w:val="24"/>
                <w:szCs w:val="24"/>
              </w:rPr>
              <w:t>Building Management Systems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“BS 8300”</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sz w:val="24"/>
                <w:szCs w:val="24"/>
              </w:rPr>
              <w:t>British Standard code of practice for recommendations on inclusive and accessible design of buildings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“BS 9999”</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sz w:val="24"/>
                <w:szCs w:val="24"/>
              </w:rPr>
              <w:t>British Standard code of practice for fire safety in the design, management and use of buildings;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"Buyer"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sz w:val="24"/>
                <w:szCs w:val="24"/>
              </w:rPr>
              <w:t>the relevant public sector purchaser identified as such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keepNext/>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"Buyer Assets"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w:t>
            </w:r>
            <w:r>
              <w:rPr>
                <w:rFonts w:ascii="Arial" w:eastAsia="Arial" w:hAnsi="Arial" w:cs="Arial"/>
                <w:color w:val="000000"/>
                <w:sz w:val="24"/>
                <w:szCs w:val="24"/>
              </w:rPr>
              <w:t>ets, equipment or other property owned by and/or licensed or leased to the Buyer and which is or may be used in connection with the provision of the Deliverables which remain the property of the Buyer throughout the term of the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"Buyer Premises"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premises owned, controlled or occupied by the Buyer which are made </w:t>
            </w:r>
            <w:r>
              <w:rPr>
                <w:rFonts w:ascii="Arial" w:eastAsia="Arial" w:hAnsi="Arial" w:cs="Arial"/>
                <w:color w:val="000000"/>
                <w:sz w:val="24"/>
                <w:szCs w:val="24"/>
              </w:rPr>
              <w:t>available for use by the Supplier or its Subcontractors for the provision of the Deliverables (or any of them);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“Buyer third party contracts”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Third party contracts are agreements that involve a person who isn't a party to a contract but is involved with t</w:t>
            </w:r>
            <w:r>
              <w:rPr>
                <w:rFonts w:ascii="Arial" w:eastAsia="Arial" w:hAnsi="Arial" w:cs="Arial"/>
                <w:sz w:val="24"/>
                <w:szCs w:val="24"/>
              </w:rPr>
              <w:t>he transaction in accordance with Contracts (Rights of Third Parties) Act 1999</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“Buyer's Clients”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Clients of the buyer at any time during the contract period</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“Buyer's Digital Platform”</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Bespoke Platform as a Service product composed of people, processes, a</w:t>
            </w:r>
            <w:r>
              <w:rPr>
                <w:rFonts w:ascii="Arial" w:eastAsia="Arial" w:hAnsi="Arial" w:cs="Arial"/>
                <w:sz w:val="24"/>
                <w:szCs w:val="24"/>
              </w:rPr>
              <w:t>nd tools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color w:val="222222"/>
                <w:sz w:val="24"/>
                <w:szCs w:val="24"/>
              </w:rPr>
              <w:t>“Buyer's Regional Supply Chain Partner”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Suppliers providing services under the regional contracts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“CAFM System”</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Computer-Aided Facility Management System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such p</w:t>
            </w:r>
            <w:r>
              <w:rPr>
                <w:rFonts w:ascii="Arial" w:eastAsia="Arial" w:hAnsi="Arial" w:cs="Arial"/>
                <w:color w:val="000000"/>
                <w:sz w:val="24"/>
                <w:szCs w:val="24"/>
              </w:rPr>
              <w:t>eriod or periods beyond which the Call-Off Initial Period may be extended as specified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"Call-Off Tender"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"CCS"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w:t>
            </w:r>
            <w:r>
              <w:rPr>
                <w:rFonts w:ascii="Arial" w:eastAsia="Arial" w:hAnsi="Arial" w:cs="Arial"/>
                <w:color w:val="000000"/>
                <w:sz w:val="24"/>
                <w:szCs w:val="24"/>
              </w:rPr>
              <w:t>mercial Service, which is an executive agency and operates as a trading fund of the Cabinet Office, whose offices are located at 9th Floor, The Capital, Old Hall Street, Liverpool L3 9PP;</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representative appointed by CCS</w:t>
            </w:r>
            <w:r>
              <w:rPr>
                <w:rFonts w:ascii="Arial" w:eastAsia="Arial" w:hAnsi="Arial" w:cs="Arial"/>
                <w:color w:val="000000"/>
                <w:sz w:val="24"/>
                <w:szCs w:val="24"/>
              </w:rPr>
              <w:t xml:space="preserve"> from time to time in relation to the Framework Contract initially identified in the Framework Award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keepNext/>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 body listed in one of the following </w:t>
            </w:r>
            <w:r>
              <w:rPr>
                <w:rFonts w:ascii="Arial" w:eastAsia="Arial" w:hAnsi="Arial" w:cs="Arial"/>
                <w:sz w:val="24"/>
                <w:szCs w:val="24"/>
              </w:rPr>
              <w:t>subcategories</w:t>
            </w:r>
            <w:r>
              <w:rPr>
                <w:rFonts w:ascii="Arial" w:eastAsia="Arial" w:hAnsi="Arial" w:cs="Arial"/>
                <w:color w:val="000000"/>
                <w:sz w:val="24"/>
                <w:szCs w:val="24"/>
              </w:rPr>
              <w:t xml:space="preserve"> of the Central Government classification of the Public Sector Classification Guide, as published and amended from time to time by the Office for National Statistics:</w:t>
            </w:r>
          </w:p>
          <w:p w:rsidR="001A521A" w:rsidRDefault="00EA319E">
            <w:pPr>
              <w:numPr>
                <w:ilvl w:val="1"/>
                <w:numId w:val="11"/>
              </w:numPr>
              <w:tabs>
                <w:tab w:val="left" w:pos="-576"/>
                <w:tab w:val="left" w:pos="144"/>
              </w:tabs>
              <w:spacing w:after="120" w:line="240" w:lineRule="auto"/>
              <w:ind w:left="689" w:hanging="545"/>
            </w:pPr>
            <w:r>
              <w:rPr>
                <w:rFonts w:ascii="Arial" w:eastAsia="Arial" w:hAnsi="Arial" w:cs="Arial"/>
                <w:color w:val="000000"/>
                <w:sz w:val="24"/>
                <w:szCs w:val="24"/>
              </w:rPr>
              <w:t>Government Department;</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Non-Departmental Public Body or Assembly Sponsored Public Body (ad</w:t>
            </w:r>
            <w:r>
              <w:rPr>
                <w:rFonts w:ascii="Arial" w:eastAsia="Arial" w:hAnsi="Arial" w:cs="Arial"/>
                <w:color w:val="000000"/>
                <w:sz w:val="24"/>
                <w:szCs w:val="24"/>
              </w:rPr>
              <w:t>visory, executive, or tribunal);</w:t>
            </w:r>
          </w:p>
          <w:p w:rsidR="001A521A" w:rsidRDefault="00EA319E">
            <w:pPr>
              <w:numPr>
                <w:ilvl w:val="1"/>
                <w:numId w:val="11"/>
              </w:numPr>
              <w:tabs>
                <w:tab w:val="left" w:pos="-576"/>
                <w:tab w:val="left" w:pos="144"/>
              </w:tabs>
              <w:spacing w:after="120" w:line="240" w:lineRule="auto"/>
              <w:ind w:left="689" w:hanging="545"/>
            </w:pPr>
            <w:r>
              <w:rPr>
                <w:rFonts w:ascii="Arial" w:eastAsia="Arial" w:hAnsi="Arial" w:cs="Arial"/>
                <w:color w:val="000000"/>
                <w:sz w:val="24"/>
                <w:szCs w:val="24"/>
              </w:rPr>
              <w:t>Non-Ministerial Department; or</w:t>
            </w:r>
          </w:p>
          <w:p w:rsidR="001A521A" w:rsidRDefault="00EA319E">
            <w:pPr>
              <w:numPr>
                <w:ilvl w:val="1"/>
                <w:numId w:val="11"/>
              </w:numPr>
              <w:tabs>
                <w:tab w:val="left" w:pos="-576"/>
                <w:tab w:val="left" w:pos="144"/>
              </w:tabs>
              <w:spacing w:after="120" w:line="240" w:lineRule="auto"/>
              <w:ind w:left="689" w:hanging="545"/>
            </w:pPr>
            <w:r>
              <w:rPr>
                <w:rFonts w:ascii="Arial" w:eastAsia="Arial" w:hAnsi="Arial" w:cs="Arial"/>
                <w:color w:val="000000"/>
                <w:sz w:val="24"/>
                <w:szCs w:val="24"/>
              </w:rPr>
              <w:t>Executive Agency;</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"Change in Law"</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"Charges"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"Claim"</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w:t>
            </w:r>
            <w:r>
              <w:rPr>
                <w:rFonts w:ascii="Arial" w:eastAsia="Arial" w:hAnsi="Arial" w:cs="Arial"/>
                <w:color w:val="000000"/>
                <w:sz w:val="24"/>
                <w:szCs w:val="24"/>
              </w:rPr>
              <w:t>mprising of commercially sensitive information relating to the Supplier, its IPR or its business or which the Supplier has indicated to the Authority that, if disclosed by the Authority, would cause the Supplier significant commercial disadvantage or mater</w:t>
            </w:r>
            <w:r>
              <w:rPr>
                <w:rFonts w:ascii="Arial" w:eastAsia="Arial" w:hAnsi="Arial" w:cs="Arial"/>
                <w:color w:val="000000"/>
                <w:sz w:val="24"/>
                <w:szCs w:val="24"/>
              </w:rPr>
              <w:t>ial financial loss;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color w:val="000000"/>
                <w:sz w:val="24"/>
                <w:szCs w:val="24"/>
              </w:rPr>
              <w:t>means any information, however it is conveyed, that relates to the business, affairs, developments, t</w:t>
            </w:r>
            <w:r>
              <w:rPr>
                <w:rFonts w:ascii="Arial" w:eastAsia="Arial" w:hAnsi="Arial" w:cs="Arial"/>
                <w:color w:val="000000"/>
                <w:sz w:val="24"/>
                <w:szCs w:val="24"/>
              </w:rPr>
              <w:t xml:space="preserve">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w:t>
            </w:r>
            <w:r>
              <w:rPr>
                <w:rFonts w:ascii="Arial" w:eastAsia="Arial" w:hAnsi="Arial" w:cs="Arial"/>
                <w:b/>
                <w:color w:val="000000"/>
                <w:sz w:val="24"/>
                <w:szCs w:val="24"/>
              </w:rPr>
              <w:t>ntial"</w:t>
            </w:r>
            <w:r>
              <w:rPr>
                <w:rFonts w:ascii="Arial" w:eastAsia="Arial" w:hAnsi="Arial" w:cs="Arial"/>
                <w:color w:val="000000"/>
                <w:sz w:val="24"/>
                <w:szCs w:val="24"/>
              </w:rPr>
              <w:t>) or which ought reasonably to be considered to be confidential;</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keepNext/>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w:t>
            </w:r>
            <w:r>
              <w:rPr>
                <w:rFonts w:ascii="Arial" w:eastAsia="Arial" w:hAnsi="Arial" w:cs="Arial"/>
                <w:color w:val="000000"/>
                <w:sz w:val="24"/>
                <w:szCs w:val="24"/>
              </w:rPr>
              <w:t>able opinion of the Buyer or CCS;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"Contract"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"Contract Period"</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 applicable Start Date; or</w:t>
            </w:r>
          </w:p>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b) the Effective Date</w:t>
            </w:r>
          </w:p>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"Contract Value"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"Contract</w:t>
            </w:r>
            <w:r>
              <w:rPr>
                <w:rFonts w:ascii="Arial" w:eastAsia="Arial" w:hAnsi="Arial" w:cs="Arial"/>
                <w:b/>
                <w:color w:val="000000"/>
                <w:sz w:val="24"/>
                <w:szCs w:val="24"/>
              </w:rPr>
              <w:t xml:space="preserve"> Year"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"Control"</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“Controller”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“Core Terms”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w:t>
            </w:r>
            <w:r>
              <w:rPr>
                <w:rFonts w:ascii="Arial" w:eastAsia="Arial" w:hAnsi="Arial" w:cs="Arial"/>
                <w:color w:val="000000"/>
                <w:sz w:val="24"/>
                <w:szCs w:val="24"/>
              </w:rPr>
              <w:t>d Call-Off Contracts;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"Costs"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the cost to the Supplier or the Key Subcontractor (as the context requires), calculated per Work Day, of engaging the Supplier Staff, including:</w:t>
            </w:r>
          </w:p>
          <w:p w:rsidR="001A521A" w:rsidRDefault="00EA319E">
            <w:pPr>
              <w:numPr>
                <w:ilvl w:val="2"/>
                <w:numId w:val="11"/>
              </w:numPr>
              <w:tabs>
                <w:tab w:val="left" w:pos="-576"/>
                <w:tab w:val="left" w:pos="144"/>
              </w:tabs>
              <w:spacing w:after="120" w:line="240" w:lineRule="auto"/>
              <w:ind w:left="792"/>
              <w:rPr>
                <w:color w:val="000000"/>
              </w:rPr>
            </w:pPr>
            <w:r>
              <w:rPr>
                <w:rFonts w:ascii="Arial" w:eastAsia="Arial" w:hAnsi="Arial" w:cs="Arial"/>
                <w:color w:val="000000"/>
                <w:sz w:val="24"/>
                <w:szCs w:val="24"/>
              </w:rPr>
              <w:t>base salary paid to the Supplier Staff;</w:t>
            </w:r>
          </w:p>
          <w:p w:rsidR="001A521A" w:rsidRDefault="00EA319E">
            <w:pPr>
              <w:numPr>
                <w:ilvl w:val="2"/>
                <w:numId w:val="11"/>
              </w:numPr>
              <w:tabs>
                <w:tab w:val="left" w:pos="-576"/>
                <w:tab w:val="left" w:pos="144"/>
              </w:tabs>
              <w:spacing w:after="120" w:line="240" w:lineRule="auto"/>
              <w:ind w:left="792"/>
              <w:rPr>
                <w:color w:val="000000"/>
              </w:rPr>
            </w:pPr>
            <w:r>
              <w:rPr>
                <w:rFonts w:ascii="Arial" w:eastAsia="Arial" w:hAnsi="Arial" w:cs="Arial"/>
                <w:color w:val="000000"/>
                <w:sz w:val="24"/>
                <w:szCs w:val="24"/>
              </w:rPr>
              <w:t>employer’s National Insurance contributions;</w:t>
            </w:r>
          </w:p>
          <w:p w:rsidR="001A521A" w:rsidRDefault="00EA319E">
            <w:pPr>
              <w:numPr>
                <w:ilvl w:val="2"/>
                <w:numId w:val="11"/>
              </w:numPr>
              <w:tabs>
                <w:tab w:val="left" w:pos="-576"/>
                <w:tab w:val="left" w:pos="144"/>
              </w:tabs>
              <w:spacing w:after="120" w:line="240" w:lineRule="auto"/>
              <w:ind w:left="792"/>
              <w:rPr>
                <w:color w:val="000000"/>
              </w:rPr>
            </w:pPr>
            <w:r>
              <w:rPr>
                <w:rFonts w:ascii="Arial" w:eastAsia="Arial" w:hAnsi="Arial" w:cs="Arial"/>
                <w:color w:val="000000"/>
                <w:sz w:val="24"/>
                <w:szCs w:val="24"/>
              </w:rPr>
              <w:t>pension contributions;</w:t>
            </w:r>
          </w:p>
          <w:p w:rsidR="001A521A" w:rsidRDefault="00EA319E">
            <w:pPr>
              <w:numPr>
                <w:ilvl w:val="2"/>
                <w:numId w:val="11"/>
              </w:numPr>
              <w:tabs>
                <w:tab w:val="left" w:pos="-576"/>
                <w:tab w:val="left" w:pos="144"/>
              </w:tabs>
              <w:spacing w:after="120" w:line="240" w:lineRule="auto"/>
              <w:ind w:left="792"/>
              <w:rPr>
                <w:color w:val="000000"/>
              </w:rPr>
            </w:pPr>
            <w:r>
              <w:rPr>
                <w:rFonts w:ascii="Arial" w:eastAsia="Arial" w:hAnsi="Arial" w:cs="Arial"/>
                <w:color w:val="000000"/>
                <w:sz w:val="24"/>
                <w:szCs w:val="24"/>
              </w:rPr>
              <w:t>car</w:t>
            </w:r>
            <w:r>
              <w:rPr>
                <w:rFonts w:ascii="Arial" w:eastAsia="Arial" w:hAnsi="Arial" w:cs="Arial"/>
                <w:color w:val="000000"/>
                <w:sz w:val="24"/>
                <w:szCs w:val="24"/>
              </w:rPr>
              <w:t xml:space="preserve"> allowances; </w:t>
            </w:r>
          </w:p>
          <w:p w:rsidR="001A521A" w:rsidRDefault="00EA319E">
            <w:pPr>
              <w:numPr>
                <w:ilvl w:val="2"/>
                <w:numId w:val="11"/>
              </w:numPr>
              <w:tabs>
                <w:tab w:val="left" w:pos="-576"/>
                <w:tab w:val="left" w:pos="144"/>
              </w:tabs>
              <w:spacing w:after="120" w:line="240" w:lineRule="auto"/>
              <w:ind w:left="792"/>
              <w:rPr>
                <w:color w:val="000000"/>
              </w:rPr>
            </w:pPr>
            <w:r>
              <w:rPr>
                <w:rFonts w:ascii="Arial" w:eastAsia="Arial" w:hAnsi="Arial" w:cs="Arial"/>
                <w:color w:val="000000"/>
                <w:sz w:val="24"/>
                <w:szCs w:val="24"/>
              </w:rPr>
              <w:t>any other contractual employment benefits;</w:t>
            </w:r>
          </w:p>
          <w:p w:rsidR="001A521A" w:rsidRDefault="00EA319E">
            <w:pPr>
              <w:numPr>
                <w:ilvl w:val="2"/>
                <w:numId w:val="11"/>
              </w:numPr>
              <w:tabs>
                <w:tab w:val="left" w:pos="-576"/>
                <w:tab w:val="left" w:pos="144"/>
              </w:tabs>
              <w:spacing w:after="120" w:line="240" w:lineRule="auto"/>
              <w:ind w:left="792"/>
              <w:rPr>
                <w:color w:val="000000"/>
              </w:rPr>
            </w:pPr>
            <w:r>
              <w:rPr>
                <w:rFonts w:ascii="Arial" w:eastAsia="Arial" w:hAnsi="Arial" w:cs="Arial"/>
                <w:color w:val="000000"/>
                <w:sz w:val="24"/>
                <w:szCs w:val="24"/>
              </w:rPr>
              <w:t>staff training;</w:t>
            </w:r>
          </w:p>
          <w:p w:rsidR="001A521A" w:rsidRDefault="00EA319E">
            <w:pPr>
              <w:numPr>
                <w:ilvl w:val="2"/>
                <w:numId w:val="11"/>
              </w:numPr>
              <w:tabs>
                <w:tab w:val="left" w:pos="-576"/>
                <w:tab w:val="left" w:pos="144"/>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accommodation;</w:t>
            </w:r>
          </w:p>
          <w:p w:rsidR="001A521A" w:rsidRDefault="00EA319E">
            <w:pPr>
              <w:numPr>
                <w:ilvl w:val="2"/>
                <w:numId w:val="11"/>
              </w:numPr>
              <w:tabs>
                <w:tab w:val="left" w:pos="-576"/>
                <w:tab w:val="left" w:pos="144"/>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including items included within limb (b) below); and</w:t>
            </w:r>
          </w:p>
          <w:p w:rsidR="001A521A" w:rsidRDefault="00EA319E">
            <w:pPr>
              <w:numPr>
                <w:ilvl w:val="2"/>
                <w:numId w:val="11"/>
              </w:numPr>
              <w:tabs>
                <w:tab w:val="left" w:pos="-576"/>
                <w:tab w:val="left" w:pos="144"/>
              </w:tabs>
              <w:spacing w:after="120" w:line="240" w:lineRule="auto"/>
              <w:ind w:left="792"/>
              <w:rPr>
                <w:color w:val="000000"/>
              </w:rPr>
            </w:pPr>
            <w:r>
              <w:rPr>
                <w:rFonts w:ascii="Arial" w:eastAsia="Arial" w:hAnsi="Arial" w:cs="Arial"/>
                <w:color w:val="000000"/>
                <w:sz w:val="24"/>
                <w:szCs w:val="24"/>
              </w:rPr>
              <w:t>reasonable rec</w:t>
            </w:r>
            <w:r>
              <w:rPr>
                <w:rFonts w:ascii="Arial" w:eastAsia="Arial" w:hAnsi="Arial" w:cs="Arial"/>
                <w:color w:val="000000"/>
                <w:sz w:val="24"/>
                <w:szCs w:val="24"/>
              </w:rPr>
              <w:t xml:space="preserve">ruitment costs, as agreed with the Buyer; </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w:t>
            </w:r>
            <w:r>
              <w:rPr>
                <w:rFonts w:ascii="Arial" w:eastAsia="Arial" w:hAnsi="Arial" w:cs="Arial"/>
                <w:color w:val="000000"/>
                <w:sz w:val="24"/>
                <w:szCs w:val="24"/>
              </w:rPr>
              <w:t>pplier Assets by the Supplier to the Buyer or (to the extent that risk and title in any Supplier Asset is not held by the Supplier) any cost actually incurred by the Supplier in respect of those Supplier Assets;</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operational costs which are not included wit</w:t>
            </w:r>
            <w:r>
              <w:rPr>
                <w:rFonts w:ascii="Arial" w:eastAsia="Arial" w:hAnsi="Arial" w:cs="Arial"/>
                <w:color w:val="000000"/>
                <w:sz w:val="24"/>
                <w:szCs w:val="24"/>
              </w:rPr>
              <w:t>hin (a) or (b) above, to the extent that such costs are necessary and properly incurred by the Supplier in the provision of the Deliverables; and</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 xml:space="preserve">Reimbursable Expenses to the extent these have been specified as allowable in the Order Form and are incurred </w:t>
            </w:r>
            <w:r>
              <w:rPr>
                <w:rFonts w:ascii="Arial" w:eastAsia="Arial" w:hAnsi="Arial" w:cs="Arial"/>
                <w:color w:val="000000"/>
                <w:sz w:val="24"/>
                <w:szCs w:val="24"/>
              </w:rPr>
              <w:t>in delivering any Deliverables;</w:t>
            </w:r>
          </w:p>
          <w:p w:rsidR="001A521A" w:rsidRDefault="00EA319E">
            <w:pPr>
              <w:tabs>
                <w:tab w:val="left" w:pos="-179"/>
                <w:tab w:val="left" w:pos="411"/>
              </w:tabs>
              <w:spacing w:after="120" w:line="240" w:lineRule="auto"/>
              <w:rPr>
                <w:rFonts w:ascii="Arial" w:eastAsia="Arial" w:hAnsi="Arial" w:cs="Arial"/>
                <w:color w:val="000000"/>
                <w:sz w:val="24"/>
                <w:szCs w:val="24"/>
              </w:rPr>
            </w:pPr>
            <w:r>
              <w:rPr>
                <w:rFonts w:ascii="Arial" w:eastAsia="Arial" w:hAnsi="Arial" w:cs="Arial"/>
                <w:color w:val="000000"/>
                <w:sz w:val="24"/>
                <w:szCs w:val="24"/>
              </w:rPr>
              <w:tab/>
              <w:t>but excluding:</w:t>
            </w:r>
          </w:p>
          <w:p w:rsidR="001A521A" w:rsidRDefault="00EA319E">
            <w:pPr>
              <w:numPr>
                <w:ilvl w:val="1"/>
                <w:numId w:val="11"/>
              </w:numPr>
              <w:tabs>
                <w:tab w:val="left" w:pos="-576"/>
                <w:tab w:val="left" w:pos="144"/>
              </w:tabs>
              <w:spacing w:after="120" w:line="240" w:lineRule="auto"/>
              <w:ind w:left="576" w:hanging="432"/>
            </w:pPr>
            <w:r>
              <w:rPr>
                <w:rFonts w:ascii="Arial" w:eastAsia="Arial" w:hAnsi="Arial" w:cs="Arial"/>
                <w:color w:val="000000"/>
                <w:sz w:val="24"/>
                <w:szCs w:val="24"/>
              </w:rPr>
              <w:t>Overhead;</w:t>
            </w:r>
          </w:p>
          <w:p w:rsidR="001A521A" w:rsidRDefault="00EA319E">
            <w:pPr>
              <w:numPr>
                <w:ilvl w:val="1"/>
                <w:numId w:val="11"/>
              </w:numPr>
              <w:tabs>
                <w:tab w:val="left" w:pos="-576"/>
                <w:tab w:val="left" w:pos="144"/>
              </w:tabs>
              <w:spacing w:after="120" w:line="240" w:lineRule="auto"/>
              <w:ind w:left="576" w:hanging="432"/>
            </w:pPr>
            <w:r>
              <w:rPr>
                <w:rFonts w:ascii="Arial" w:eastAsia="Arial" w:hAnsi="Arial" w:cs="Arial"/>
                <w:color w:val="000000"/>
                <w:sz w:val="24"/>
                <w:szCs w:val="24"/>
              </w:rPr>
              <w:t>financing or similar costs;</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1A521A" w:rsidRDefault="00EA319E">
            <w:pPr>
              <w:numPr>
                <w:ilvl w:val="1"/>
                <w:numId w:val="11"/>
              </w:numPr>
              <w:tabs>
                <w:tab w:val="left" w:pos="-576"/>
                <w:tab w:val="left" w:pos="144"/>
              </w:tabs>
              <w:spacing w:after="120" w:line="240" w:lineRule="auto"/>
              <w:ind w:left="689" w:hanging="545"/>
            </w:pPr>
            <w:r>
              <w:rPr>
                <w:rFonts w:ascii="Arial" w:eastAsia="Arial" w:hAnsi="Arial" w:cs="Arial"/>
                <w:color w:val="000000"/>
                <w:sz w:val="24"/>
                <w:szCs w:val="24"/>
              </w:rPr>
              <w:t>taxation;</w:t>
            </w:r>
          </w:p>
          <w:p w:rsidR="001A521A" w:rsidRDefault="00EA319E">
            <w:pPr>
              <w:numPr>
                <w:ilvl w:val="1"/>
                <w:numId w:val="11"/>
              </w:numPr>
              <w:tabs>
                <w:tab w:val="left" w:pos="-576"/>
                <w:tab w:val="left" w:pos="144"/>
              </w:tabs>
              <w:spacing w:after="120" w:line="240" w:lineRule="auto"/>
              <w:ind w:left="689" w:hanging="545"/>
            </w:pPr>
            <w:r>
              <w:rPr>
                <w:rFonts w:ascii="Arial" w:eastAsia="Arial" w:hAnsi="Arial" w:cs="Arial"/>
                <w:color w:val="000000"/>
                <w:sz w:val="24"/>
                <w:szCs w:val="24"/>
              </w:rPr>
              <w:t>fines and penalties;</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1A521A" w:rsidRDefault="00EA319E">
            <w:pPr>
              <w:numPr>
                <w:ilvl w:val="1"/>
                <w:numId w:val="11"/>
              </w:numPr>
              <w:tabs>
                <w:tab w:val="left" w:pos="-576"/>
                <w:tab w:val="left" w:pos="144"/>
              </w:tabs>
              <w:spacing w:after="120" w:line="240" w:lineRule="auto"/>
              <w:ind w:hanging="288"/>
            </w:pPr>
            <w:r>
              <w:rPr>
                <w:rFonts w:ascii="Arial" w:eastAsia="Arial" w:hAnsi="Arial" w:cs="Arial"/>
                <w:color w:val="000000"/>
                <w:sz w:val="24"/>
                <w:szCs w:val="24"/>
              </w:rPr>
              <w:t>non-cash items (including depreciation, amortisation, impairments and movements in provisions);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"CRTPA"</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GDPR, the LED and any applicable national implementing Laws as amended from</w:t>
            </w:r>
            <w:r>
              <w:rPr>
                <w:rFonts w:ascii="Arial" w:eastAsia="Arial" w:hAnsi="Arial" w:cs="Arial"/>
                <w:color w:val="000000"/>
                <w:sz w:val="24"/>
                <w:szCs w:val="24"/>
              </w:rPr>
              <w:t xml:space="preserve"> time to time (ii) the DPA 2018 to the extent that it relates to Processing of personal data and privacy; (iii) all applicable Law about the Processing of personal data and privacy;</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amount specified in the Framework Awa</w:t>
            </w:r>
            <w:r>
              <w:rPr>
                <w:rFonts w:ascii="Arial" w:eastAsia="Arial" w:hAnsi="Arial" w:cs="Arial"/>
                <w:color w:val="000000"/>
                <w:sz w:val="24"/>
                <w:szCs w:val="24"/>
              </w:rPr>
              <w:t>rd Form;</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"Data Subject"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"Deductions"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"Default"</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a Contract in breach of its terms) or any other default (including material default), act, omission, </w:t>
            </w:r>
            <w:r>
              <w:rPr>
                <w:rFonts w:ascii="Arial" w:eastAsia="Arial" w:hAnsi="Arial" w:cs="Arial"/>
                <w:color w:val="000000"/>
                <w:sz w:val="24"/>
                <w:szCs w:val="24"/>
              </w:rPr>
              <w:t>negligence or statement of the Supplier, of its Subcontractors or any Supplier Staff howsoever arising in connection with or in relation to the subject-matter of a Contract and in respect of which the Supplier is liable to the Relevant Authority;</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"Default</w:t>
            </w:r>
            <w:r>
              <w:rPr>
                <w:rFonts w:ascii="Arial" w:eastAsia="Arial" w:hAnsi="Arial" w:cs="Arial"/>
                <w:b/>
                <w:color w:val="000000"/>
                <w:sz w:val="24"/>
                <w:szCs w:val="24"/>
              </w:rPr>
              <w:t xml:space="preserve"> Management Charge"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"Delay Payments"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"Deliverables"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"Delivery"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w:t>
            </w:r>
            <w:r>
              <w:rPr>
                <w:rFonts w:ascii="Arial" w:eastAsia="Arial" w:hAnsi="Arial" w:cs="Arial"/>
                <w:color w:val="000000"/>
                <w:sz w:val="24"/>
                <w:szCs w:val="24"/>
              </w:rPr>
              <w:t>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w:t>
            </w:r>
            <w:r>
              <w:rPr>
                <w:rFonts w:ascii="Arial" w:eastAsia="Arial" w:hAnsi="Arial" w:cs="Arial"/>
                <w:color w:val="000000"/>
                <w:sz w:val="24"/>
                <w:szCs w:val="24"/>
              </w:rPr>
              <w:t>nce with Clause 15 (What you must keep confidential);</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keepNext/>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"Dispute"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w:t>
            </w:r>
            <w:r>
              <w:rPr>
                <w:rFonts w:ascii="Arial" w:eastAsia="Arial" w:hAnsi="Arial" w:cs="Arial"/>
                <w:color w:val="000000"/>
                <w:sz w:val="24"/>
                <w:szCs w:val="24"/>
              </w:rPr>
              <w:t xml:space="preserve">nforceability or termination of the Contract, whether the alleged liability shall arise under English law or under the law of some other country and regardless of whether a particular cause of action may successfully be brought in the English courts;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"Documentation"</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w:t>
            </w:r>
            <w:r>
              <w:rPr>
                <w:rFonts w:ascii="Arial" w:eastAsia="Arial" w:hAnsi="Arial" w:cs="Arial"/>
                <w:color w:val="000000"/>
                <w:sz w:val="24"/>
                <w:szCs w:val="24"/>
              </w:rPr>
              <w:t>s definitions and procedures, system environment descriptions and all such other documentation (whether in hardcopy or electronic form) is required to be supplied by the Supplier to the Buyer under a Contract as:</w:t>
            </w:r>
          </w:p>
          <w:p w:rsidR="001A521A" w:rsidRDefault="00EA319E">
            <w:pPr>
              <w:numPr>
                <w:ilvl w:val="0"/>
                <w:numId w:val="13"/>
              </w:numPr>
              <w:tabs>
                <w:tab w:val="left" w:pos="-576"/>
                <w:tab w:val="left" w:pos="144"/>
              </w:tabs>
              <w:rPr>
                <w:color w:val="000000"/>
              </w:rPr>
            </w:pPr>
            <w:r>
              <w:rPr>
                <w:rFonts w:ascii="Arial" w:eastAsia="Arial" w:hAnsi="Arial" w:cs="Arial"/>
                <w:color w:val="000000"/>
                <w:sz w:val="24"/>
                <w:szCs w:val="24"/>
              </w:rPr>
              <w:t>would reasonably be required by a competent</w:t>
            </w:r>
            <w:r>
              <w:rPr>
                <w:rFonts w:ascii="Arial" w:eastAsia="Arial" w:hAnsi="Arial" w:cs="Arial"/>
                <w:color w:val="000000"/>
                <w:sz w:val="24"/>
                <w:szCs w:val="24"/>
              </w:rPr>
              <w:t xml:space="preserve"> third party capable of Good Industry Practice contracted by the Buyer to develop, configure, build, deploy, run, maintain, upgrade and test the individual systems that provide the Deliverables</w:t>
            </w:r>
          </w:p>
          <w:p w:rsidR="001A521A" w:rsidRDefault="00EA319E">
            <w:pPr>
              <w:numPr>
                <w:ilvl w:val="0"/>
                <w:numId w:val="13"/>
              </w:numPr>
              <w:tabs>
                <w:tab w:val="left" w:pos="-576"/>
                <w:tab w:val="left" w:pos="144"/>
              </w:tabs>
              <w:rPr>
                <w:color w:val="000000"/>
              </w:rPr>
            </w:pPr>
            <w:r>
              <w:rPr>
                <w:rFonts w:ascii="Arial" w:eastAsia="Arial" w:hAnsi="Arial" w:cs="Arial"/>
                <w:color w:val="000000"/>
                <w:sz w:val="24"/>
                <w:szCs w:val="24"/>
              </w:rPr>
              <w:t>is required by the Supplier in order to provide the Deliverabl</w:t>
            </w:r>
            <w:r>
              <w:rPr>
                <w:rFonts w:ascii="Arial" w:eastAsia="Arial" w:hAnsi="Arial" w:cs="Arial"/>
                <w:color w:val="000000"/>
                <w:sz w:val="24"/>
                <w:szCs w:val="24"/>
              </w:rPr>
              <w:t>es; and/or</w:t>
            </w:r>
          </w:p>
          <w:p w:rsidR="001A521A" w:rsidRDefault="00EA319E">
            <w:pPr>
              <w:numPr>
                <w:ilvl w:val="0"/>
                <w:numId w:val="13"/>
              </w:numPr>
              <w:tabs>
                <w:tab w:val="left" w:pos="-576"/>
                <w:tab w:val="left" w:pos="144"/>
              </w:tabs>
              <w:spacing w:after="120" w:line="240" w:lineRule="auto"/>
              <w:rPr>
                <w:color w:val="000000"/>
              </w:rPr>
            </w:pPr>
            <w:r>
              <w:rPr>
                <w:rFonts w:ascii="Arial" w:eastAsia="Arial" w:hAnsi="Arial" w:cs="Arial"/>
                <w:color w:val="000000"/>
                <w:sz w:val="24"/>
                <w:szCs w:val="24"/>
              </w:rPr>
              <w:t>has been or shall be generated for the purpose of providing the Deliverables;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"DOTAS"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“DPA 2018”</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“DSE”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rPr>
                <w:rFonts w:ascii="Arial" w:eastAsia="Arial" w:hAnsi="Arial" w:cs="Arial"/>
                <w:color w:val="000000"/>
                <w:sz w:val="24"/>
                <w:szCs w:val="24"/>
              </w:rPr>
            </w:pPr>
            <w:r>
              <w:rPr>
                <w:rFonts w:ascii="Arial" w:eastAsia="Arial" w:hAnsi="Arial" w:cs="Arial"/>
                <w:sz w:val="24"/>
                <w:szCs w:val="24"/>
              </w:rPr>
              <w:t>Display screen equipment risk assessments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“DV”</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rPr>
                <w:rFonts w:ascii="Arial" w:eastAsia="Arial" w:hAnsi="Arial" w:cs="Arial"/>
                <w:color w:val="000000"/>
                <w:sz w:val="24"/>
                <w:szCs w:val="24"/>
              </w:rPr>
            </w:pPr>
            <w:r>
              <w:rPr>
                <w:rFonts w:ascii="Arial" w:eastAsia="Arial" w:hAnsi="Arial" w:cs="Arial"/>
                <w:sz w:val="24"/>
                <w:szCs w:val="24"/>
              </w:rPr>
              <w:t xml:space="preserve">Developed Vetting clearance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“Effective Date”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the date on which the final Party</w:t>
            </w:r>
            <w:r>
              <w:rPr>
                <w:rFonts w:ascii="Arial" w:eastAsia="Arial" w:hAnsi="Arial" w:cs="Arial"/>
                <w:color w:val="000000"/>
                <w:sz w:val="24"/>
                <w:szCs w:val="24"/>
              </w:rPr>
              <w:t xml:space="preserve"> has signed the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"EIR"</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 xml:space="preserve">“EN </w:t>
            </w:r>
            <w:r>
              <w:rPr>
                <w:rFonts w:ascii="Arial" w:eastAsia="Arial" w:hAnsi="Arial" w:cs="Arial"/>
                <w:b/>
                <w:sz w:val="24"/>
                <w:szCs w:val="24"/>
              </w:rPr>
              <w:t>ISO9001”</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rPr>
                <w:rFonts w:ascii="Arial" w:eastAsia="Arial" w:hAnsi="Arial" w:cs="Arial"/>
                <w:color w:val="000000"/>
                <w:sz w:val="24"/>
                <w:szCs w:val="24"/>
              </w:rPr>
            </w:pPr>
            <w:r>
              <w:rPr>
                <w:rFonts w:ascii="Arial" w:eastAsia="Arial" w:hAnsi="Arial" w:cs="Arial"/>
                <w:sz w:val="24"/>
                <w:szCs w:val="24"/>
              </w:rPr>
              <w:t>The ISO 9000 family of quality management systems is a set of standards that helps organisations ensure they meet customer and other stakeholder needs within statutory and regulatory requirements related to a product or service.</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"End Date"</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rsidR="001A521A" w:rsidRDefault="00EA319E">
            <w:pPr>
              <w:numPr>
                <w:ilvl w:val="0"/>
                <w:numId w:val="3"/>
              </w:numPr>
              <w:tabs>
                <w:tab w:val="left" w:pos="-576"/>
                <w:tab w:val="left" w:pos="144"/>
              </w:tabs>
              <w:rPr>
                <w:color w:val="000000"/>
              </w:rPr>
            </w:pPr>
            <w:r>
              <w:rPr>
                <w:rFonts w:ascii="Arial" w:eastAsia="Arial" w:hAnsi="Arial" w:cs="Arial"/>
                <w:color w:val="000000"/>
                <w:sz w:val="24"/>
                <w:szCs w:val="24"/>
              </w:rPr>
              <w:t>the Expiry Date (as extended by any Extension Period exercised by the Relevant Authority under Clause 10.1.2); or</w:t>
            </w:r>
          </w:p>
          <w:p w:rsidR="001A521A" w:rsidRDefault="00EA319E">
            <w:pPr>
              <w:numPr>
                <w:ilvl w:val="0"/>
                <w:numId w:val="3"/>
              </w:numPr>
              <w:tabs>
                <w:tab w:val="left" w:pos="-576"/>
                <w:tab w:val="left" w:pos="144"/>
              </w:tabs>
              <w:spacing w:after="120" w:line="240" w:lineRule="auto"/>
              <w:rPr>
                <w:color w:val="000000"/>
              </w:rPr>
            </w:pPr>
            <w:r>
              <w:rPr>
                <w:rFonts w:ascii="Arial" w:eastAsia="Arial" w:hAnsi="Arial" w:cs="Arial"/>
                <w:color w:val="000000"/>
                <w:sz w:val="24"/>
                <w:szCs w:val="24"/>
              </w:rPr>
              <w:t>if a Contract is terminated before the date specified in (a) above, the date of termination of the Contract;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 xml:space="preserve">"Environmental </w:t>
            </w:r>
            <w:r>
              <w:rPr>
                <w:rFonts w:ascii="Arial" w:eastAsia="Arial" w:hAnsi="Arial" w:cs="Arial"/>
                <w:b/>
                <w:color w:val="000000"/>
                <w:sz w:val="24"/>
                <w:szCs w:val="24"/>
              </w:rPr>
              <w:t>Policy"</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w:t>
            </w:r>
            <w:r>
              <w:rPr>
                <w:rFonts w:ascii="Arial" w:eastAsia="Arial" w:hAnsi="Arial" w:cs="Arial"/>
                <w:color w:val="000000"/>
                <w:sz w:val="24"/>
                <w:szCs w:val="24"/>
              </w:rPr>
              <w:t>vironment, including any written environmental policy of the Buyer;</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Environment Info Regs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The right of access to information about the activities of public authorities that relate to or affect the environment</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“Equality Act 2010”</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The Equality Act 2010 legally protects people from discrimination in the workplace and in wider society. It replaced previous anti-discrimination laws with a single Act, making the law easier to understand and strengthening protection in some situations.</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w:t>
            </w:r>
            <w:r>
              <w:rPr>
                <w:rFonts w:ascii="Arial" w:eastAsia="Arial" w:hAnsi="Arial" w:cs="Arial"/>
                <w:b/>
                <w:color w:val="000000"/>
                <w:sz w:val="24"/>
                <w:szCs w:val="24"/>
              </w:rPr>
              <w:t>Equality and Human Rights Commission"</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highlight w:val="white"/>
              </w:rPr>
              <w:t>“EPIMS”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s>
              <w:spacing w:after="120" w:line="240" w:lineRule="auto"/>
              <w:rPr>
                <w:rFonts w:ascii="Arial" w:eastAsia="Arial" w:hAnsi="Arial" w:cs="Arial"/>
                <w:color w:val="000000"/>
                <w:sz w:val="24"/>
                <w:szCs w:val="24"/>
              </w:rPr>
            </w:pPr>
            <w:r>
              <w:rPr>
                <w:rFonts w:ascii="Arial" w:eastAsia="Arial" w:hAnsi="Arial" w:cs="Arial"/>
                <w:sz w:val="24"/>
                <w:szCs w:val="24"/>
                <w:highlight w:val="white"/>
              </w:rPr>
              <w:t xml:space="preserve">Government Property-the Electronic Property Information Mapping Service </w:t>
            </w:r>
          </w:p>
        </w:tc>
      </w:tr>
      <w:tr w:rsidR="001A521A">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710" w:type="dxa"/>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r w:rsidR="001A521A">
        <w:tc>
          <w:tcPr>
            <w:tcW w:w="2325" w:type="dxa"/>
            <w:tcBorders>
              <w:left w:val="single" w:sz="8" w:space="0" w:color="000000"/>
              <w:bottom w:val="single" w:sz="8" w:space="0" w:color="000000"/>
              <w:right w:val="single" w:sz="8"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"Estimated Yearly Charges"</w:t>
            </w:r>
          </w:p>
        </w:tc>
        <w:tc>
          <w:tcPr>
            <w:tcW w:w="7710" w:type="dxa"/>
            <w:tcBorders>
              <w:bottom w:val="single" w:sz="8" w:space="0" w:color="000000"/>
              <w:right w:val="single" w:sz="8" w:space="0" w:color="000000"/>
            </w:tcBorders>
            <w:shd w:val="clear" w:color="auto" w:fill="auto"/>
          </w:tcPr>
          <w:p w:rsidR="001A521A" w:rsidRDefault="00EA319E">
            <w:pPr>
              <w:tabs>
                <w:tab w:val="left" w:pos="-179"/>
              </w:tabs>
              <w:spacing w:after="120" w:line="240" w:lineRule="auto"/>
              <w:jc w:val="both"/>
              <w:rPr>
                <w:rFonts w:ascii="Arial" w:eastAsia="Arial" w:hAnsi="Arial" w:cs="Arial"/>
                <w:sz w:val="24"/>
                <w:szCs w:val="24"/>
              </w:rPr>
            </w:pPr>
            <w:r>
              <w:rPr>
                <w:rFonts w:ascii="Arial" w:eastAsia="Arial" w:hAnsi="Arial" w:cs="Arial"/>
                <w:sz w:val="24"/>
                <w:szCs w:val="24"/>
              </w:rPr>
              <w:t>means for the purposes of calculating each Party’s annual liability under clause 11.2:</w:t>
            </w:r>
          </w:p>
          <w:p w:rsidR="001A521A" w:rsidRDefault="00EA319E">
            <w:pPr>
              <w:tabs>
                <w:tab w:val="left" w:pos="-179"/>
              </w:tabs>
              <w:spacing w:after="120" w:line="240" w:lineRule="auto"/>
              <w:jc w:val="both"/>
              <w:rPr>
                <w:rFonts w:ascii="Arial" w:eastAsia="Arial" w:hAnsi="Arial" w:cs="Arial"/>
                <w:sz w:val="24"/>
                <w:szCs w:val="24"/>
              </w:rPr>
            </w:pPr>
            <w:r>
              <w:rPr>
                <w:rFonts w:ascii="Arial" w:eastAsia="Arial" w:hAnsi="Arial" w:cs="Arial"/>
                <w:sz w:val="24"/>
                <w:szCs w:val="24"/>
              </w:rPr>
              <w:t xml:space="preserve">i)  in the first Contract Year, the Estimated Year 1 Charges; or </w:t>
            </w:r>
          </w:p>
          <w:p w:rsidR="001A521A" w:rsidRDefault="001A521A">
            <w:pPr>
              <w:tabs>
                <w:tab w:val="left" w:pos="-179"/>
              </w:tabs>
              <w:spacing w:after="120" w:line="240" w:lineRule="auto"/>
              <w:jc w:val="both"/>
              <w:rPr>
                <w:rFonts w:ascii="Arial" w:eastAsia="Arial" w:hAnsi="Arial" w:cs="Arial"/>
                <w:sz w:val="24"/>
                <w:szCs w:val="24"/>
              </w:rPr>
            </w:pPr>
          </w:p>
          <w:p w:rsidR="001A521A" w:rsidRDefault="00EA319E">
            <w:pPr>
              <w:tabs>
                <w:tab w:val="left" w:pos="-179"/>
              </w:tabs>
              <w:spacing w:after="120" w:line="240" w:lineRule="auto"/>
              <w:jc w:val="both"/>
              <w:rPr>
                <w:rFonts w:ascii="Arial" w:eastAsia="Arial" w:hAnsi="Arial" w:cs="Arial"/>
                <w:sz w:val="24"/>
                <w:szCs w:val="24"/>
              </w:rPr>
            </w:pPr>
            <w:r>
              <w:rPr>
                <w:rFonts w:ascii="Arial" w:eastAsia="Arial" w:hAnsi="Arial" w:cs="Arial"/>
                <w:sz w:val="24"/>
                <w:szCs w:val="24"/>
              </w:rPr>
              <w:t>ii) in the any subsequent Contract Years, the Charges paid or payable in the previous Call-off Contract Year; or</w:t>
            </w:r>
          </w:p>
          <w:p w:rsidR="001A521A" w:rsidRDefault="001A521A">
            <w:pPr>
              <w:tabs>
                <w:tab w:val="left" w:pos="-179"/>
              </w:tabs>
              <w:spacing w:after="120" w:line="240" w:lineRule="auto"/>
              <w:jc w:val="both"/>
              <w:rPr>
                <w:rFonts w:ascii="Arial" w:eastAsia="Arial" w:hAnsi="Arial" w:cs="Arial"/>
                <w:sz w:val="24"/>
                <w:szCs w:val="24"/>
              </w:rPr>
            </w:pPr>
          </w:p>
          <w:p w:rsidR="001A521A" w:rsidRDefault="00EA319E">
            <w:pPr>
              <w:tabs>
                <w:tab w:val="left" w:pos="-179"/>
              </w:tabs>
              <w:spacing w:after="120" w:line="240" w:lineRule="auto"/>
              <w:jc w:val="both"/>
              <w:rPr>
                <w:rFonts w:ascii="Arial" w:eastAsia="Arial" w:hAnsi="Arial" w:cs="Arial"/>
                <w:sz w:val="24"/>
                <w:szCs w:val="24"/>
              </w:rPr>
            </w:pPr>
            <w:r>
              <w:rPr>
                <w:rFonts w:ascii="Arial" w:eastAsia="Arial" w:hAnsi="Arial" w:cs="Arial"/>
                <w:sz w:val="24"/>
                <w:szCs w:val="24"/>
              </w:rPr>
              <w:t>iii) after the end of the Call-off Contract, the Charges paid or payable in</w:t>
            </w:r>
            <w:r>
              <w:rPr>
                <w:rFonts w:ascii="Arial" w:eastAsia="Arial" w:hAnsi="Arial" w:cs="Arial"/>
                <w:sz w:val="24"/>
                <w:szCs w:val="24"/>
              </w:rPr>
              <w:t xml:space="preserve"> the last Contract Year during the Call-off Contract Period;  </w:t>
            </w:r>
          </w:p>
        </w:tc>
      </w:tr>
    </w:tbl>
    <w:p w:rsidR="001A521A" w:rsidRDefault="001A521A">
      <w:pPr>
        <w:widowControl w:val="0"/>
        <w:spacing w:after="0" w:line="240" w:lineRule="auto"/>
        <w:rPr>
          <w:rFonts w:ascii="Arial" w:eastAsia="Arial" w:hAnsi="Arial" w:cs="Arial"/>
          <w:color w:val="000000"/>
          <w:sz w:val="24"/>
          <w:szCs w:val="24"/>
        </w:rPr>
      </w:pPr>
    </w:p>
    <w:p w:rsidR="001A521A" w:rsidRDefault="001A521A">
      <w:pPr>
        <w:rPr>
          <w:rFonts w:ascii="Arial" w:eastAsia="Arial" w:hAnsi="Arial" w:cs="Arial"/>
          <w:sz w:val="24"/>
          <w:szCs w:val="24"/>
        </w:rPr>
      </w:pPr>
    </w:p>
    <w:tbl>
      <w:tblPr>
        <w:tblStyle w:val="a0"/>
        <w:tblW w:w="973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4"/>
        <w:gridCol w:w="7331"/>
      </w:tblGrid>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“FF&amp;E Management Requirements”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Furniture, Fixtures &amp; Equipment (FF&amp;E) management requirements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“FM”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sz w:val="24"/>
                <w:szCs w:val="24"/>
              </w:rPr>
              <w:t>Facilities Management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event, occurrence, circumstance, matter or cause affecting the performance by either the Relevant Authority or the Supplier of its obligations arising from acts, events, omissions, happenings or non-happenings beyond the </w:t>
            </w:r>
            <w:r>
              <w:rPr>
                <w:rFonts w:ascii="Arial" w:eastAsia="Arial" w:hAnsi="Arial" w:cs="Arial"/>
                <w:color w:val="000000"/>
                <w:sz w:val="24"/>
                <w:szCs w:val="24"/>
              </w:rPr>
              <w:t>reasonable control of the Affected Party which prevent or materially delay the Affected Party from performing its obligations under a Contract and which are not attributable to any wilful act, neglect or failure to take reasonable preventative action by th</w:t>
            </w:r>
            <w:r>
              <w:rPr>
                <w:rFonts w:ascii="Arial" w:eastAsia="Arial" w:hAnsi="Arial" w:cs="Arial"/>
                <w:color w:val="000000"/>
                <w:sz w:val="24"/>
                <w:szCs w:val="24"/>
              </w:rPr>
              <w:t>e Affected Party, including:</w:t>
            </w:r>
          </w:p>
          <w:p w:rsidR="001A521A" w:rsidRDefault="00EA319E">
            <w:pPr>
              <w:numPr>
                <w:ilvl w:val="1"/>
                <w:numId w:val="23"/>
              </w:numPr>
              <w:tabs>
                <w:tab w:val="left" w:pos="-576"/>
                <w:tab w:val="left" w:pos="144"/>
              </w:tabs>
              <w:spacing w:after="120" w:line="240" w:lineRule="auto"/>
              <w:ind w:hanging="288"/>
              <w:jc w:val="both"/>
            </w:pPr>
            <w:r>
              <w:rPr>
                <w:rFonts w:ascii="Arial" w:eastAsia="Arial" w:hAnsi="Arial" w:cs="Arial"/>
                <w:color w:val="000000"/>
                <w:sz w:val="24"/>
                <w:szCs w:val="24"/>
              </w:rPr>
              <w:t>riots, civil commotion, war or armed conflict;</w:t>
            </w:r>
          </w:p>
          <w:p w:rsidR="001A521A" w:rsidRDefault="00EA319E">
            <w:pPr>
              <w:numPr>
                <w:ilvl w:val="1"/>
                <w:numId w:val="23"/>
              </w:numPr>
              <w:tabs>
                <w:tab w:val="left" w:pos="-576"/>
                <w:tab w:val="left" w:pos="144"/>
              </w:tabs>
              <w:spacing w:after="120" w:line="240" w:lineRule="auto"/>
              <w:ind w:hanging="288"/>
              <w:jc w:val="both"/>
            </w:pPr>
            <w:r>
              <w:rPr>
                <w:rFonts w:ascii="Arial" w:eastAsia="Arial" w:hAnsi="Arial" w:cs="Arial"/>
                <w:color w:val="000000"/>
                <w:sz w:val="24"/>
                <w:szCs w:val="24"/>
              </w:rPr>
              <w:t>acts of terrorism;</w:t>
            </w:r>
          </w:p>
          <w:p w:rsidR="001A521A" w:rsidRDefault="00EA319E">
            <w:pPr>
              <w:numPr>
                <w:ilvl w:val="1"/>
                <w:numId w:val="23"/>
              </w:numPr>
              <w:tabs>
                <w:tab w:val="left" w:pos="-576"/>
                <w:tab w:val="left" w:pos="144"/>
              </w:tabs>
              <w:spacing w:after="120" w:line="240" w:lineRule="auto"/>
              <w:ind w:hanging="288"/>
              <w:jc w:val="both"/>
            </w:pPr>
            <w:r>
              <w:rPr>
                <w:rFonts w:ascii="Arial" w:eastAsia="Arial" w:hAnsi="Arial" w:cs="Arial"/>
                <w:color w:val="000000"/>
                <w:sz w:val="24"/>
                <w:szCs w:val="24"/>
              </w:rPr>
              <w:t>acts of a Central Government Body, local government or regulatory bodies;</w:t>
            </w:r>
          </w:p>
          <w:p w:rsidR="001A521A" w:rsidRDefault="00EA319E">
            <w:pPr>
              <w:numPr>
                <w:ilvl w:val="1"/>
                <w:numId w:val="23"/>
              </w:numPr>
              <w:tabs>
                <w:tab w:val="left" w:pos="-576"/>
                <w:tab w:val="left" w:pos="144"/>
              </w:tabs>
              <w:spacing w:after="120" w:line="240" w:lineRule="auto"/>
              <w:ind w:left="576" w:hanging="432"/>
              <w:jc w:val="both"/>
            </w:pPr>
            <w:r>
              <w:rPr>
                <w:rFonts w:ascii="Arial" w:eastAsia="Arial" w:hAnsi="Arial" w:cs="Arial"/>
                <w:color w:val="000000"/>
                <w:sz w:val="24"/>
                <w:szCs w:val="24"/>
              </w:rPr>
              <w:t>fire, flood, storm or earthquake or other natural disaster,</w:t>
            </w:r>
          </w:p>
          <w:p w:rsidR="001A521A" w:rsidRDefault="00EA319E">
            <w:pPr>
              <w:tabs>
                <w:tab w:val="left" w:pos="-576"/>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1A521A">
        <w:trPr>
          <w:trHeight w:val="9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“Freedom of Information Act”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 xml:space="preserve">The Freedom of Information Act 2000 gives a general right of access to information </w:t>
            </w:r>
            <w:r>
              <w:rPr>
                <w:rFonts w:ascii="Arial" w:eastAsia="Arial" w:hAnsi="Arial" w:cs="Arial"/>
                <w:sz w:val="24"/>
                <w:szCs w:val="24"/>
              </w:rPr>
              <w:t>held by public authorities (and those providing services for them), sets out exemptions from that right and places a number of obligations on public authorities. The House of Lords is a public authority under the 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w:t>
            </w:r>
            <w:r>
              <w:rPr>
                <w:rFonts w:ascii="Arial" w:eastAsia="Arial" w:hAnsi="Arial" w:cs="Arial"/>
                <w:color w:val="000000"/>
                <w:sz w:val="24"/>
                <w:szCs w:val="24"/>
              </w:rPr>
              <w:t>e with Regulation 33 by the Framework Award Form for the provision of the Deliverables to Buyers by the Supplier pursuant to the OJEU Notice;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r>
              <w:rPr>
                <w:rFonts w:ascii="Arial" w:eastAsia="Arial" w:hAnsi="Arial" w:cs="Arial"/>
                <w:color w:val="000000"/>
                <w:sz w:val="24"/>
                <w:szCs w:val="24"/>
              </w:rPr>
              <w: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w:t>
            </w:r>
            <w:r>
              <w:rPr>
                <w:rFonts w:ascii="Arial" w:eastAsia="Arial" w:hAnsi="Arial" w:cs="Arial"/>
                <w:b/>
                <w:color w:val="000000"/>
                <w:sz w:val="24"/>
                <w:szCs w:val="24"/>
              </w:rPr>
              <w:t>amework Optional Extension Period"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Price(s)"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Further Competition Procedure"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“GBS”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Global Business Services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"GDPR"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numPr>
                <w:ilvl w:val="1"/>
                <w:numId w:val="23"/>
              </w:numPr>
              <w:tabs>
                <w:tab w:val="left" w:pos="-576"/>
                <w:tab w:val="left" w:pos="144"/>
              </w:tabs>
              <w:spacing w:after="120" w:line="240" w:lineRule="auto"/>
              <w:ind w:hanging="288"/>
              <w:jc w:val="both"/>
            </w:pPr>
            <w:r>
              <w:rPr>
                <w:rFonts w:ascii="Arial" w:eastAsia="Arial" w:hAnsi="Arial" w:cs="Arial"/>
                <w:color w:val="000000"/>
                <w:sz w:val="24"/>
                <w:szCs w:val="24"/>
              </w:rPr>
              <w:t xml:space="preserve">the legislation in Part 5 of the Finance Act 2013 and; and </w:t>
            </w:r>
          </w:p>
          <w:p w:rsidR="001A521A" w:rsidRDefault="00EA319E">
            <w:pPr>
              <w:numPr>
                <w:ilvl w:val="1"/>
                <w:numId w:val="23"/>
              </w:numPr>
              <w:tabs>
                <w:tab w:val="left" w:pos="-576"/>
                <w:tab w:val="left" w:pos="144"/>
              </w:tabs>
              <w:spacing w:after="120" w:line="240" w:lineRule="auto"/>
              <w:ind w:hanging="288"/>
              <w:jc w:val="both"/>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“GL Code”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A General Ledger Code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w:t>
            </w:r>
            <w:r>
              <w:rPr>
                <w:rFonts w:ascii="Arial" w:eastAsia="Arial" w:hAnsi="Arial" w:cs="Arial"/>
                <w:color w:val="000000"/>
                <w:sz w:val="24"/>
                <w:szCs w:val="24"/>
              </w:rPr>
              <w:t>nd the exercise of the degree of skill and care, diligence, prudence and foresight which would reasonably and ordinarily be expected from a skilled and experienced person or body engaged within the relevant industry or business sector;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go</w:t>
            </w:r>
            <w:r>
              <w:rPr>
                <w:rFonts w:ascii="Arial" w:eastAsia="Arial" w:hAnsi="Arial" w:cs="Arial"/>
                <w:color w:val="000000"/>
                <w:sz w:val="24"/>
                <w:szCs w:val="24"/>
              </w:rPr>
              <w:t xml:space="preserve">vernment of the United Kingdom (including the Northern Ireland Assembly and Executive Committee, the Scottish Government and the National Assembly for Wales), including government ministers and government departments and other bodies, persons, commissions </w:t>
            </w:r>
            <w:r>
              <w:rPr>
                <w:rFonts w:ascii="Arial" w:eastAsia="Arial" w:hAnsi="Arial" w:cs="Arial"/>
                <w:color w:val="000000"/>
                <w:sz w:val="24"/>
                <w:szCs w:val="24"/>
              </w:rPr>
              <w:t>or agencies from time to time carrying out functions on its behalf;</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1A521A" w:rsidRDefault="00EA319E">
            <w:pPr>
              <w:numPr>
                <w:ilvl w:val="2"/>
                <w:numId w:val="23"/>
              </w:numPr>
              <w:tabs>
                <w:tab w:val="left" w:pos="-576"/>
                <w:tab w:val="left" w:pos="144"/>
              </w:tabs>
              <w:spacing w:after="120" w:line="240" w:lineRule="auto"/>
              <w:ind w:left="792"/>
              <w:jc w:val="both"/>
              <w:rPr>
                <w:color w:val="000000"/>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1A521A" w:rsidRDefault="00EA319E">
            <w:pPr>
              <w:numPr>
                <w:ilvl w:val="2"/>
                <w:numId w:val="23"/>
              </w:numPr>
              <w:tabs>
                <w:tab w:val="left" w:pos="-576"/>
                <w:tab w:val="left" w:pos="144"/>
              </w:tabs>
              <w:spacing w:after="120" w:line="240" w:lineRule="auto"/>
              <w:ind w:left="792"/>
              <w:jc w:val="both"/>
              <w:rPr>
                <w:color w:val="000000"/>
              </w:rPr>
            </w:pPr>
            <w:r>
              <w:rPr>
                <w:rFonts w:ascii="Arial" w:eastAsia="Arial" w:hAnsi="Arial" w:cs="Arial"/>
                <w:color w:val="000000"/>
                <w:sz w:val="24"/>
                <w:szCs w:val="24"/>
              </w:rPr>
              <w:t xml:space="preserve">the Supplier is required to generate, process, store or transmit pursuant to a Contract;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w:t>
            </w:r>
            <w:r>
              <w:rPr>
                <w:rFonts w:ascii="Arial" w:eastAsia="Arial" w:hAnsi="Arial" w:cs="Arial"/>
                <w:color w:val="000000"/>
                <w:sz w:val="24"/>
                <w:szCs w:val="24"/>
              </w:rPr>
              <w:t xml:space="preserve"> (Guarantee) in relation to this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"HMRC"</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“HSE Licensed Personnel”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Health &amp; Safety Executive (HSE)  licensed contractor.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“HSE RIDDOR Reports”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HSE RIDDOR reporting system for notification of those incidents and accidents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1A521A" w:rsidRDefault="00EA319E">
            <w:pPr>
              <w:numPr>
                <w:ilvl w:val="0"/>
                <w:numId w:val="4"/>
              </w:numPr>
              <w:tabs>
                <w:tab w:val="left" w:pos="-576"/>
                <w:tab w:val="left" w:pos="144"/>
              </w:tabs>
              <w:jc w:val="both"/>
              <w:rPr>
                <w:color w:val="000000"/>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1A521A" w:rsidRDefault="00EA319E">
            <w:pPr>
              <w:numPr>
                <w:ilvl w:val="0"/>
                <w:numId w:val="4"/>
              </w:numPr>
              <w:tabs>
                <w:tab w:val="left" w:pos="-576"/>
                <w:tab w:val="left" w:pos="144"/>
              </w:tabs>
              <w:jc w:val="both"/>
              <w:rPr>
                <w:color w:val="000000"/>
              </w:rPr>
            </w:pPr>
            <w:r>
              <w:rPr>
                <w:rFonts w:ascii="Arial" w:eastAsia="Arial" w:hAnsi="Arial" w:cs="Arial"/>
                <w:color w:val="000000"/>
                <w:sz w:val="24"/>
                <w:szCs w:val="24"/>
              </w:rPr>
              <w:t>details of the cost of implementing the proposed Variation;</w:t>
            </w:r>
          </w:p>
          <w:p w:rsidR="001A521A" w:rsidRDefault="00EA319E">
            <w:pPr>
              <w:numPr>
                <w:ilvl w:val="0"/>
                <w:numId w:val="4"/>
              </w:numPr>
              <w:tabs>
                <w:tab w:val="left" w:pos="-576"/>
                <w:tab w:val="left" w:pos="144"/>
              </w:tabs>
              <w:jc w:val="both"/>
              <w:rPr>
                <w:color w:val="000000"/>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1A521A" w:rsidRDefault="00EA319E">
            <w:pPr>
              <w:numPr>
                <w:ilvl w:val="0"/>
                <w:numId w:val="4"/>
              </w:numPr>
              <w:tabs>
                <w:tab w:val="left" w:pos="-576"/>
                <w:tab w:val="left" w:pos="144"/>
              </w:tabs>
              <w:jc w:val="both"/>
              <w:rPr>
                <w:color w:val="000000"/>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1A521A" w:rsidRDefault="00EA319E">
            <w:pPr>
              <w:numPr>
                <w:ilvl w:val="0"/>
                <w:numId w:val="4"/>
              </w:numPr>
              <w:tabs>
                <w:tab w:val="left" w:pos="-576"/>
                <w:tab w:val="left" w:pos="144"/>
              </w:tabs>
              <w:spacing w:after="120" w:line="240" w:lineRule="auto"/>
              <w:jc w:val="both"/>
              <w:rPr>
                <w:color w:val="000000"/>
              </w:rPr>
            </w:pPr>
            <w:r>
              <w:rPr>
                <w:rFonts w:ascii="Arial" w:eastAsia="Arial" w:hAnsi="Arial" w:cs="Arial"/>
                <w:color w:val="000000"/>
                <w:sz w:val="24"/>
                <w:szCs w:val="24"/>
              </w:rPr>
              <w:t>such other information as the Relevant Authority may reasonably request in (or in response to) the Variation request;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w:t>
            </w:r>
            <w:r>
              <w:rPr>
                <w:rFonts w:ascii="Arial" w:eastAsia="Arial" w:hAnsi="Arial" w:cs="Arial"/>
                <w:color w:val="000000"/>
                <w:sz w:val="24"/>
                <w:szCs w:val="24"/>
              </w:rPr>
              <w: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"Informatio</w:t>
            </w:r>
            <w:r>
              <w:rPr>
                <w:rFonts w:ascii="Arial" w:eastAsia="Arial" w:hAnsi="Arial" w:cs="Arial"/>
                <w:b/>
                <w:color w:val="000000"/>
                <w:sz w:val="24"/>
                <w:szCs w:val="24"/>
              </w:rPr>
              <w:t>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w:t>
            </w:r>
            <w:r>
              <w:rPr>
                <w:rFonts w:ascii="Arial" w:eastAsia="Arial" w:hAnsi="Arial" w:cs="Arial"/>
                <w:color w:val="000000"/>
                <w:sz w:val="24"/>
                <w:szCs w:val="24"/>
              </w:rPr>
              <w:t>lvent amalgamation of that person with one or more other companies or the solvent reconstruction of that person;</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w:t>
            </w:r>
            <w:r>
              <w:rPr>
                <w:rFonts w:ascii="Arial" w:eastAsia="Arial" w:hAnsi="Arial" w:cs="Arial"/>
                <w:color w:val="000000"/>
                <w:sz w:val="24"/>
                <w:szCs w:val="24"/>
              </w:rPr>
              <w:t>dministrator is filed at Court or given or if an administrator is appointed, over that person;</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w:t>
            </w:r>
            <w:r>
              <w:rPr>
                <w:rFonts w:ascii="Arial" w:eastAsia="Arial" w:hAnsi="Arial" w:cs="Arial"/>
                <w:color w:val="000000"/>
                <w:sz w:val="24"/>
                <w:szCs w:val="24"/>
              </w:rPr>
              <w:t>inistrative receiver; or</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w:t>
            </w:r>
            <w:r>
              <w:rPr>
                <w:rFonts w:ascii="Arial" w:eastAsia="Arial" w:hAnsi="Arial" w:cs="Arial"/>
                <w:color w:val="000000"/>
                <w:sz w:val="24"/>
                <w:szCs w:val="24"/>
              </w:rPr>
              <w:t xml:space="preserve"> respect to that person in any jurisdiction to which it is subject that has an effect equivalent or similar to any of the events mentioned above;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w:t>
            </w:r>
            <w:r>
              <w:rPr>
                <w:rFonts w:ascii="Arial" w:eastAsia="Arial" w:hAnsi="Arial" w:cs="Arial"/>
                <w:color w:val="000000"/>
                <w:sz w:val="24"/>
                <w:szCs w:val="24"/>
              </w:rPr>
              <w:t>eriod to install the Goods in accordance with the Call-Off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numPr>
                <w:ilvl w:val="0"/>
                <w:numId w:val="15"/>
              </w:numPr>
              <w:tabs>
                <w:tab w:val="left" w:pos="-576"/>
                <w:tab w:val="left" w:pos="144"/>
              </w:tabs>
              <w:jc w:val="both"/>
              <w:rPr>
                <w:color w:val="000000"/>
              </w:rPr>
            </w:pPr>
            <w:r>
              <w:rPr>
                <w:rFonts w:ascii="Arial" w:eastAsia="Arial" w:hAnsi="Arial" w:cs="Arial"/>
                <w:color w:val="000000"/>
                <w:sz w:val="24"/>
                <w:szCs w:val="24"/>
              </w:rPr>
              <w:t>copyright, rights related to or affording protection similar to copyright, rights in databases, patents and rights in inventions, semi-conductor t</w:t>
            </w:r>
            <w:r>
              <w:rPr>
                <w:rFonts w:ascii="Arial" w:eastAsia="Arial" w:hAnsi="Arial" w:cs="Arial"/>
                <w:color w:val="000000"/>
                <w:sz w:val="24"/>
                <w:szCs w:val="24"/>
              </w:rPr>
              <w:t>opography rights, trade marks, rights in internet domain names and website addresses and other rights in trade or business names, goodwill, designs, Know-How, trade secrets and other rights in Confidential Information;</w:t>
            </w:r>
          </w:p>
          <w:p w:rsidR="001A521A" w:rsidRDefault="00EA319E">
            <w:pPr>
              <w:numPr>
                <w:ilvl w:val="0"/>
                <w:numId w:val="15"/>
              </w:numPr>
              <w:tabs>
                <w:tab w:val="left" w:pos="-576"/>
                <w:tab w:val="left" w:pos="144"/>
              </w:tabs>
              <w:jc w:val="both"/>
              <w:rPr>
                <w:color w:val="000000"/>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1A521A" w:rsidRDefault="00EA319E">
            <w:pPr>
              <w:numPr>
                <w:ilvl w:val="0"/>
                <w:numId w:val="15"/>
              </w:numPr>
              <w:tabs>
                <w:tab w:val="left" w:pos="-576"/>
                <w:tab w:val="left" w:pos="144"/>
              </w:tabs>
              <w:spacing w:after="120" w:line="240" w:lineRule="auto"/>
              <w:jc w:val="both"/>
              <w:rPr>
                <w:color w:val="000000"/>
              </w:rPr>
            </w:pPr>
            <w:r>
              <w:rPr>
                <w:rFonts w:ascii="Arial" w:eastAsia="Arial" w:hAnsi="Arial" w:cs="Arial"/>
                <w:color w:val="000000"/>
                <w:sz w:val="24"/>
                <w:szCs w:val="24"/>
              </w:rPr>
              <w:t>all other rights having equivalent or similar effect in any country or juri</w:t>
            </w:r>
            <w:r>
              <w:rPr>
                <w:rFonts w:ascii="Arial" w:eastAsia="Arial" w:hAnsi="Arial" w:cs="Arial"/>
                <w:color w:val="000000"/>
                <w:sz w:val="24"/>
                <w:szCs w:val="24"/>
              </w:rPr>
              <w:t>sdiction;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“IOM”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Interim operating model</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the off-payroll rules requiring individuals who work through their company pay the same tax and National Insurance contributions as an employee which can be f</w:t>
            </w:r>
            <w:r>
              <w:rPr>
                <w:rFonts w:ascii="Arial" w:eastAsia="Arial" w:hAnsi="Arial" w:cs="Arial"/>
                <w:color w:val="000000"/>
                <w:sz w:val="24"/>
                <w:szCs w:val="24"/>
              </w:rPr>
              <w:t xml:space="preserve">ound online at: </w:t>
            </w:r>
            <w:hyperlink r:id="rId7">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the agreement (if any) entered into between the Relevant Authority and the Sup</w:t>
            </w:r>
            <w:r>
              <w:rPr>
                <w:rFonts w:ascii="Arial" w:eastAsia="Arial" w:hAnsi="Arial" w:cs="Arial"/>
                <w:color w:val="000000"/>
                <w:sz w:val="24"/>
                <w:szCs w:val="24"/>
              </w:rPr>
              <w:t>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w:t>
            </w:r>
            <w:r>
              <w:rPr>
                <w:rFonts w:ascii="Arial" w:eastAsia="Arial" w:hAnsi="Arial" w:cs="Arial"/>
                <w:color w:val="000000"/>
                <w:sz w:val="24"/>
                <w:szCs w:val="24"/>
              </w:rPr>
              <w:t>n the Order Form;</w:t>
            </w:r>
          </w:p>
        </w:tc>
      </w:tr>
      <w:tr w:rsidR="001A521A">
        <w:trPr>
          <w:trHeight w:val="357"/>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1A521A">
        <w:trPr>
          <w:trHeight w:val="426"/>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Subcontractor:</w:t>
            </w:r>
          </w:p>
          <w:p w:rsidR="001A521A" w:rsidRDefault="00EA319E">
            <w:pPr>
              <w:numPr>
                <w:ilvl w:val="0"/>
                <w:numId w:val="20"/>
              </w:numPr>
              <w:tabs>
                <w:tab w:val="left" w:pos="-576"/>
                <w:tab w:val="left" w:pos="144"/>
              </w:tabs>
              <w:jc w:val="both"/>
              <w:rPr>
                <w:color w:val="000000"/>
              </w:rPr>
            </w:pPr>
            <w:r>
              <w:rPr>
                <w:rFonts w:ascii="Arial" w:eastAsia="Arial" w:hAnsi="Arial" w:cs="Arial"/>
                <w:color w:val="000000"/>
                <w:sz w:val="24"/>
                <w:szCs w:val="24"/>
              </w:rPr>
              <w:t>which is relied upon to deliver any work package within the Deliverables in their entirety; and/or</w:t>
            </w:r>
          </w:p>
          <w:p w:rsidR="001A521A" w:rsidRDefault="00EA319E">
            <w:pPr>
              <w:numPr>
                <w:ilvl w:val="0"/>
                <w:numId w:val="20"/>
              </w:numPr>
              <w:tabs>
                <w:tab w:val="left" w:pos="-576"/>
                <w:tab w:val="left" w:pos="144"/>
              </w:tabs>
              <w:jc w:val="both"/>
              <w:rPr>
                <w:color w:val="000000"/>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1A521A" w:rsidRDefault="00EA319E">
            <w:pPr>
              <w:numPr>
                <w:ilvl w:val="0"/>
                <w:numId w:val="20"/>
              </w:numPr>
              <w:tabs>
                <w:tab w:val="left" w:pos="-576"/>
                <w:tab w:val="left" w:pos="144"/>
              </w:tabs>
              <w:spacing w:after="120" w:line="240" w:lineRule="auto"/>
              <w:jc w:val="both"/>
              <w:rPr>
                <w:color w:val="000000"/>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1A521A" w:rsidRDefault="00EA319E">
            <w:pPr>
              <w:tabs>
                <w:tab w:val="left" w:pos="-576"/>
                <w:tab w:val="left" w:pos="144"/>
              </w:tabs>
              <w:spacing w:after="120" w:line="240" w:lineRule="auto"/>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KPI’s or key performance indicators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the performance measurements and targets in respect of the Supplier’s performance of the Framework Contract set out in Framework Schedule 4 (Framework Management);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“L8”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sz w:val="24"/>
                <w:szCs w:val="24"/>
              </w:rPr>
              <w:t>Code of practice for Legionella</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“Landlord”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a person who rents out land, a building, or accommodation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w:t>
            </w:r>
            <w:r>
              <w:rPr>
                <w:rFonts w:ascii="Arial" w:eastAsia="Arial" w:hAnsi="Arial" w:cs="Arial"/>
                <w:color w:val="000000"/>
                <w:sz w:val="24"/>
                <w:szCs w:val="24"/>
              </w:rPr>
              <w:t xml:space="preserve"> 1972, regulation, order, regulatory policy, mandatory guidance or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“LED”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"Lots"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175"/>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w:t>
            </w:r>
            <w:r>
              <w:rPr>
                <w:rFonts w:ascii="Arial" w:eastAsia="Arial" w:hAnsi="Arial" w:cs="Arial"/>
                <w:color w:val="000000"/>
                <w:sz w:val="24"/>
                <w:szCs w:val="24"/>
              </w:rPr>
              <w:t>tion), if applicable;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“Leesman Index - LMI”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a business intelligence functionality and effectiveness score to measure the workplace environment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sum specified in the Framework Award Form payable by the Supplier to CCS in accordance </w:t>
            </w:r>
            <w:r>
              <w:rPr>
                <w:rFonts w:ascii="Arial" w:eastAsia="Arial" w:hAnsi="Arial" w:cs="Arial"/>
                <w:color w:val="000000"/>
                <w:sz w:val="24"/>
                <w:szCs w:val="24"/>
              </w:rPr>
              <w:t>with Framework Schedule 5 (Management Charges and Information);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175"/>
              </w:tabs>
              <w:spacing w:after="120" w:line="240" w:lineRule="auto"/>
              <w:jc w:val="both"/>
              <w:rPr>
                <w:rFonts w:ascii="Arial" w:eastAsia="Arial" w:hAnsi="Arial" w:cs="Arial"/>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175"/>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1A521A" w:rsidRDefault="00EA319E">
            <w:pPr>
              <w:numPr>
                <w:ilvl w:val="0"/>
                <w:numId w:val="7"/>
              </w:numPr>
              <w:tabs>
                <w:tab w:val="left" w:pos="-576"/>
                <w:tab w:val="left" w:pos="175"/>
              </w:tabs>
              <w:jc w:val="both"/>
              <w:rPr>
                <w:color w:val="000000"/>
              </w:rPr>
            </w:pPr>
            <w:r>
              <w:rPr>
                <w:rFonts w:ascii="Arial" w:eastAsia="Arial" w:hAnsi="Arial" w:cs="Arial"/>
                <w:color w:val="000000"/>
                <w:sz w:val="24"/>
                <w:szCs w:val="24"/>
              </w:rPr>
              <w:t xml:space="preserve">contains any material errors or material omissions or a missing mandatory field; or  </w:t>
            </w:r>
          </w:p>
          <w:p w:rsidR="001A521A" w:rsidRDefault="00EA319E">
            <w:pPr>
              <w:numPr>
                <w:ilvl w:val="0"/>
                <w:numId w:val="7"/>
              </w:numPr>
              <w:tabs>
                <w:tab w:val="left" w:pos="-576"/>
                <w:tab w:val="left" w:pos="175"/>
              </w:tabs>
              <w:jc w:val="both"/>
              <w:rPr>
                <w:color w:val="000000"/>
              </w:rPr>
            </w:pPr>
            <w:r>
              <w:rPr>
                <w:rFonts w:ascii="Arial" w:eastAsia="Arial" w:hAnsi="Arial" w:cs="Arial"/>
                <w:color w:val="000000"/>
                <w:sz w:val="24"/>
                <w:szCs w:val="24"/>
              </w:rPr>
              <w:t>is submitted using an incorrect MI reporting Template; or</w:t>
            </w:r>
          </w:p>
          <w:p w:rsidR="001A521A" w:rsidRDefault="00EA319E">
            <w:pPr>
              <w:numPr>
                <w:ilvl w:val="0"/>
                <w:numId w:val="7"/>
              </w:numPr>
              <w:tabs>
                <w:tab w:val="left" w:pos="-576"/>
                <w:tab w:val="left" w:pos="175"/>
              </w:tabs>
              <w:spacing w:after="120" w:line="240" w:lineRule="auto"/>
              <w:jc w:val="both"/>
              <w:rPr>
                <w:color w:val="000000"/>
              </w:rPr>
            </w:pPr>
            <w:r>
              <w:rPr>
                <w:rFonts w:ascii="Arial" w:eastAsia="Arial" w:hAnsi="Arial" w:cs="Arial"/>
                <w:color w:val="000000"/>
                <w:sz w:val="24"/>
                <w:szCs w:val="24"/>
              </w:rPr>
              <w:t>is not submitted by the reporting date (including where a declaration of no business should have been filed);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175"/>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w:t>
            </w:r>
            <w:r>
              <w:rPr>
                <w:rFonts w:ascii="Arial" w:eastAsia="Arial" w:hAnsi="Arial" w:cs="Arial"/>
                <w:color w:val="000000"/>
                <w:sz w:val="24"/>
                <w:szCs w:val="24"/>
              </w:rPr>
              <w:t>es and Information);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175"/>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“MIS IT System”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a management information system (MIS)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w:t>
            </w:r>
            <w:r>
              <w:rPr>
                <w:rFonts w:ascii="Arial" w:eastAsia="Arial" w:hAnsi="Arial" w:cs="Arial"/>
                <w:color w:val="000000"/>
                <w:sz w:val="24"/>
                <w:szCs w:val="24"/>
              </w:rPr>
              <w:t>001/1004);</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“NEET’s”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jc w:val="both"/>
              <w:rPr>
                <w:rFonts w:ascii="Arial" w:eastAsia="Arial" w:hAnsi="Arial" w:cs="Arial"/>
                <w:color w:val="000000"/>
                <w:sz w:val="24"/>
                <w:szCs w:val="24"/>
              </w:rPr>
            </w:pPr>
            <w:r>
              <w:rPr>
                <w:rFonts w:ascii="Arial" w:eastAsia="Arial" w:hAnsi="Arial" w:cs="Arial"/>
                <w:sz w:val="24"/>
                <w:szCs w:val="24"/>
              </w:rPr>
              <w:t>a classification of young people who are not in education, employment or training</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576"/>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1A521A" w:rsidRDefault="00EA319E">
            <w:pPr>
              <w:tabs>
                <w:tab w:val="left" w:pos="-576"/>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“O&amp;M Manuals”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Operations and maintenance manuals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1A521A" w:rsidRDefault="00EA319E">
            <w:pPr>
              <w:numPr>
                <w:ilvl w:val="0"/>
                <w:numId w:val="12"/>
              </w:numPr>
              <w:tabs>
                <w:tab w:val="left" w:pos="-576"/>
                <w:tab w:val="left" w:pos="144"/>
              </w:tabs>
              <w:spacing w:after="120" w:line="240" w:lineRule="auto"/>
              <w:jc w:val="both"/>
              <w:rPr>
                <w:color w:val="000000"/>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1A521A" w:rsidRDefault="00EA319E">
            <w:pPr>
              <w:tabs>
                <w:tab w:val="left" w:pos="-576"/>
                <w:tab w:val="left" w:pos="144"/>
              </w:tabs>
              <w:spacing w:after="120" w:line="240" w:lineRule="auto"/>
              <w:ind w:left="708"/>
              <w:jc w:val="both"/>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color w:val="000000"/>
                <w:sz w:val="24"/>
                <w:szCs w:val="24"/>
              </w:rPr>
              <w:t>a Relevant Tax Authority successfully challenging the Supplier under the General Anti</w:t>
            </w:r>
            <w:r>
              <w:rPr>
                <w:rFonts w:ascii="Arial" w:eastAsia="Arial" w:hAnsi="Arial" w:cs="Arial"/>
                <w:color w:val="000000"/>
                <w:sz w:val="24"/>
                <w:szCs w:val="24"/>
              </w:rPr>
              <w:t>-Abuse Rule or the Halifax Abuse Principle or under any tax rules or legislation in any jurisdiction that have an effect equivalent or similar to the General Anti-Abuse Rule or the Halifax Abuse Principle;</w:t>
            </w:r>
          </w:p>
          <w:p w:rsidR="001A521A" w:rsidRDefault="00EA319E">
            <w:pPr>
              <w:tabs>
                <w:tab w:val="left" w:pos="-576"/>
                <w:tab w:val="left" w:pos="144"/>
              </w:tabs>
              <w:spacing w:after="120" w:line="240" w:lineRule="auto"/>
              <w:ind w:left="708"/>
              <w:jc w:val="both"/>
              <w:rPr>
                <w:rFonts w:ascii="Arial" w:eastAsia="Arial" w:hAnsi="Arial" w:cs="Arial"/>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w:t>
            </w:r>
            <w:r>
              <w:rPr>
                <w:rFonts w:ascii="Arial" w:eastAsia="Arial" w:hAnsi="Arial" w:cs="Arial"/>
                <w:color w:val="000000"/>
                <w:sz w:val="24"/>
                <w:szCs w:val="24"/>
              </w:rPr>
              <w:t>upplier was involved in, and which was, or should have been, notified to a Relevant Tax Authority under the DOTAS or any equivalent or similar regime in any jurisdiction; and/or</w:t>
            </w:r>
          </w:p>
          <w:p w:rsidR="001A521A" w:rsidRDefault="00EA319E">
            <w:pPr>
              <w:numPr>
                <w:ilvl w:val="0"/>
                <w:numId w:val="12"/>
              </w:numPr>
              <w:tabs>
                <w:tab w:val="left" w:pos="-576"/>
                <w:tab w:val="left" w:pos="144"/>
              </w:tabs>
              <w:spacing w:after="120" w:line="240" w:lineRule="auto"/>
              <w:jc w:val="both"/>
              <w:rPr>
                <w:color w:val="000000"/>
              </w:rPr>
            </w:pPr>
            <w:r>
              <w:rPr>
                <w:rFonts w:ascii="Arial" w:eastAsia="Arial" w:hAnsi="Arial" w:cs="Arial"/>
                <w:color w:val="000000"/>
                <w:sz w:val="24"/>
                <w:szCs w:val="24"/>
              </w:rPr>
              <w:t>any tax return of the Supplier submitted to a Relevant Tax Authority on or aft</w:t>
            </w:r>
            <w:r>
              <w:rPr>
                <w:rFonts w:ascii="Arial" w:eastAsia="Arial" w:hAnsi="Arial" w:cs="Arial"/>
                <w:color w:val="000000"/>
                <w:sz w:val="24"/>
                <w:szCs w:val="24"/>
              </w:rPr>
              <w:t>er 1 October 2012 which gives rise, on or after 1 April 2013, to a criminal conviction in any jurisdiction for tax related offences which is not spent at the Start Date or to a civil penalty for fraud or evasion;</w:t>
            </w:r>
          </w:p>
        </w:tc>
      </w:tr>
      <w:tr w:rsidR="001A521A">
        <w:trPr>
          <w:trHeight w:val="5726"/>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1A521A" w:rsidRDefault="00EA319E">
            <w:pPr>
              <w:numPr>
                <w:ilvl w:val="0"/>
                <w:numId w:val="14"/>
              </w:numPr>
              <w:tabs>
                <w:tab w:val="left" w:pos="-576"/>
                <w:tab w:val="left" w:pos="144"/>
              </w:tabs>
              <w:jc w:val="both"/>
              <w:rPr>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1A521A" w:rsidRDefault="00EA319E">
            <w:pPr>
              <w:numPr>
                <w:ilvl w:val="0"/>
                <w:numId w:val="14"/>
              </w:numPr>
              <w:tabs>
                <w:tab w:val="left" w:pos="-576"/>
                <w:tab w:val="left" w:pos="144"/>
              </w:tabs>
              <w:jc w:val="both"/>
              <w:rPr>
                <w:color w:val="000000"/>
              </w:rPr>
            </w:pPr>
            <w:r>
              <w:rPr>
                <w:rFonts w:ascii="Arial" w:eastAsia="Arial" w:hAnsi="Arial" w:cs="Arial"/>
                <w:color w:val="000000"/>
                <w:sz w:val="24"/>
                <w:szCs w:val="24"/>
              </w:rPr>
              <w:t>operating e</w:t>
            </w:r>
            <w:r>
              <w:rPr>
                <w:rFonts w:ascii="Arial" w:eastAsia="Arial" w:hAnsi="Arial" w:cs="Arial"/>
                <w:color w:val="000000"/>
                <w:sz w:val="24"/>
                <w:szCs w:val="24"/>
              </w:rPr>
              <w:t>xpenditure relating to the provision of the Deliverables including an analysis showing:</w:t>
            </w:r>
          </w:p>
          <w:p w:rsidR="001A521A" w:rsidRDefault="00EA319E">
            <w:pPr>
              <w:numPr>
                <w:ilvl w:val="2"/>
                <w:numId w:val="23"/>
              </w:numPr>
              <w:tabs>
                <w:tab w:val="left" w:pos="-576"/>
                <w:tab w:val="left" w:pos="144"/>
              </w:tabs>
              <w:spacing w:after="120" w:line="240" w:lineRule="auto"/>
              <w:ind w:left="792"/>
              <w:jc w:val="both"/>
              <w:rPr>
                <w:color w:val="000000"/>
              </w:rPr>
            </w:pPr>
            <w:r>
              <w:rPr>
                <w:rFonts w:ascii="Arial" w:eastAsia="Arial" w:hAnsi="Arial" w:cs="Arial"/>
                <w:color w:val="000000"/>
                <w:sz w:val="24"/>
                <w:szCs w:val="24"/>
              </w:rPr>
              <w:t>the unit costs and quantity of Goods and any other consumables and bought-in Deliverables;</w:t>
            </w:r>
          </w:p>
          <w:p w:rsidR="001A521A" w:rsidRDefault="00EA319E">
            <w:pPr>
              <w:numPr>
                <w:ilvl w:val="2"/>
                <w:numId w:val="23"/>
              </w:numPr>
              <w:tabs>
                <w:tab w:val="left" w:pos="-576"/>
                <w:tab w:val="left" w:pos="144"/>
              </w:tabs>
              <w:spacing w:after="120" w:line="240" w:lineRule="auto"/>
              <w:ind w:left="792"/>
              <w:jc w:val="both"/>
              <w:rPr>
                <w:color w:val="000000"/>
              </w:rPr>
            </w:pPr>
            <w:r>
              <w:rPr>
                <w:rFonts w:ascii="Arial" w:eastAsia="Arial" w:hAnsi="Arial" w:cs="Arial"/>
                <w:color w:val="000000"/>
                <w:sz w:val="24"/>
                <w:szCs w:val="24"/>
              </w:rPr>
              <w:t xml:space="preserve">staff costs broken down into the number and grade/role of all Supplier Staff </w:t>
            </w:r>
            <w:r>
              <w:rPr>
                <w:rFonts w:ascii="Arial" w:eastAsia="Arial" w:hAnsi="Arial" w:cs="Arial"/>
                <w:color w:val="000000"/>
                <w:sz w:val="24"/>
                <w:szCs w:val="24"/>
              </w:rPr>
              <w:t>(free of any contingency) together with a list of agreed rates against each grade;</w:t>
            </w:r>
          </w:p>
          <w:p w:rsidR="001A521A" w:rsidRDefault="00EA319E">
            <w:pPr>
              <w:numPr>
                <w:ilvl w:val="2"/>
                <w:numId w:val="23"/>
              </w:numPr>
              <w:tabs>
                <w:tab w:val="left" w:pos="-576"/>
                <w:tab w:val="left" w:pos="144"/>
              </w:tabs>
              <w:spacing w:after="120" w:line="240" w:lineRule="auto"/>
              <w:ind w:left="792"/>
              <w:jc w:val="both"/>
              <w:rPr>
                <w:color w:val="000000"/>
              </w:rPr>
            </w:pPr>
            <w:r>
              <w:rPr>
                <w:rFonts w:ascii="Arial" w:eastAsia="Arial" w:hAnsi="Arial" w:cs="Arial"/>
                <w:color w:val="000000"/>
                <w:sz w:val="24"/>
                <w:szCs w:val="24"/>
              </w:rPr>
              <w:t>a list of Costs underpinning those rates for each grade, being the agreed rate less the Supplier Profit Margin; and</w:t>
            </w:r>
          </w:p>
          <w:p w:rsidR="001A521A" w:rsidRDefault="00EA319E">
            <w:pPr>
              <w:numPr>
                <w:ilvl w:val="2"/>
                <w:numId w:val="23"/>
              </w:numPr>
              <w:tabs>
                <w:tab w:val="left" w:pos="-576"/>
                <w:tab w:val="left" w:pos="144"/>
              </w:tabs>
              <w:spacing w:after="120" w:line="240" w:lineRule="auto"/>
              <w:ind w:left="792"/>
              <w:jc w:val="both"/>
              <w:rPr>
                <w:color w:val="000000"/>
              </w:rPr>
            </w:pPr>
            <w:r>
              <w:rPr>
                <w:rFonts w:ascii="Arial" w:eastAsia="Arial" w:hAnsi="Arial" w:cs="Arial"/>
                <w:color w:val="000000"/>
                <w:sz w:val="24"/>
                <w:szCs w:val="24"/>
              </w:rPr>
              <w:t xml:space="preserve">Reimbursable Expenses, if allowed under the Order Form; </w:t>
            </w:r>
          </w:p>
          <w:p w:rsidR="001A521A" w:rsidRDefault="00EA319E">
            <w:pPr>
              <w:numPr>
                <w:ilvl w:val="0"/>
                <w:numId w:val="14"/>
              </w:numPr>
              <w:tabs>
                <w:tab w:val="left" w:pos="-576"/>
                <w:tab w:val="left" w:pos="144"/>
              </w:tabs>
              <w:jc w:val="both"/>
            </w:pPr>
            <w:r>
              <w:rPr>
                <w:rFonts w:ascii="Arial" w:eastAsia="Arial" w:hAnsi="Arial" w:cs="Arial"/>
                <w:sz w:val="24"/>
                <w:szCs w:val="24"/>
              </w:rPr>
              <w:t xml:space="preserve">Overheads; </w:t>
            </w:r>
          </w:p>
          <w:p w:rsidR="001A521A" w:rsidRDefault="00EA319E">
            <w:pPr>
              <w:numPr>
                <w:ilvl w:val="0"/>
                <w:numId w:val="14"/>
              </w:numPr>
              <w:tabs>
                <w:tab w:val="left" w:pos="-576"/>
                <w:tab w:val="left" w:pos="144"/>
              </w:tabs>
              <w:jc w:val="both"/>
              <w:rPr>
                <w:color w:val="000000"/>
              </w:rPr>
            </w:pPr>
            <w:r>
              <w:rPr>
                <w:rFonts w:ascii="Arial" w:eastAsia="Arial" w:hAnsi="Arial" w:cs="Arial"/>
                <w:color w:val="000000"/>
                <w:sz w:val="24"/>
                <w:szCs w:val="24"/>
              </w:rPr>
              <w:t>all interest, expenses and any other third party financing costs incurred in relation to the provision of the Deliverables;</w:t>
            </w:r>
          </w:p>
          <w:p w:rsidR="001A521A" w:rsidRDefault="00EA319E">
            <w:pPr>
              <w:numPr>
                <w:ilvl w:val="0"/>
                <w:numId w:val="14"/>
              </w:numPr>
              <w:tabs>
                <w:tab w:val="left" w:pos="-576"/>
                <w:tab w:val="left" w:pos="144"/>
              </w:tabs>
              <w:jc w:val="both"/>
            </w:pPr>
            <w:r>
              <w:rPr>
                <w:rFonts w:ascii="Arial" w:eastAsia="Arial" w:hAnsi="Arial" w:cs="Arial"/>
                <w:sz w:val="24"/>
                <w:szCs w:val="24"/>
              </w:rPr>
              <w:t>the Supplier Profit achieved over the Framework Contract Period and on an annual basis;</w:t>
            </w:r>
          </w:p>
          <w:p w:rsidR="001A521A" w:rsidRDefault="00EA319E">
            <w:pPr>
              <w:numPr>
                <w:ilvl w:val="0"/>
                <w:numId w:val="14"/>
              </w:numPr>
              <w:tabs>
                <w:tab w:val="left" w:pos="-576"/>
                <w:tab w:val="left" w:pos="144"/>
              </w:tabs>
              <w:jc w:val="both"/>
            </w:pPr>
            <w:r>
              <w:rPr>
                <w:rFonts w:ascii="Arial" w:eastAsia="Arial" w:hAnsi="Arial" w:cs="Arial"/>
                <w:sz w:val="24"/>
                <w:szCs w:val="24"/>
              </w:rPr>
              <w:t>confirmation that all methods of</w:t>
            </w:r>
            <w:r>
              <w:rPr>
                <w:rFonts w:ascii="Arial" w:eastAsia="Arial" w:hAnsi="Arial" w:cs="Arial"/>
                <w:sz w:val="24"/>
                <w:szCs w:val="24"/>
              </w:rPr>
              <w:t xml:space="preserve"> Cost apportionment and Overhead allocation are consistent with and not more onerous than such methods applied generally by the Supplier;</w:t>
            </w:r>
          </w:p>
          <w:p w:rsidR="001A521A" w:rsidRDefault="00EA319E">
            <w:pPr>
              <w:numPr>
                <w:ilvl w:val="0"/>
                <w:numId w:val="14"/>
              </w:numPr>
              <w:tabs>
                <w:tab w:val="left" w:pos="-576"/>
                <w:tab w:val="left" w:pos="144"/>
              </w:tabs>
              <w:jc w:val="both"/>
            </w:pPr>
            <w:r>
              <w:rPr>
                <w:rFonts w:ascii="Arial" w:eastAsia="Arial" w:hAnsi="Arial" w:cs="Arial"/>
                <w:sz w:val="24"/>
                <w:szCs w:val="24"/>
              </w:rPr>
              <w:t>an explanation of the type and value of risk and contingencies associated with the provision of the Deliverables, incl</w:t>
            </w:r>
            <w:r>
              <w:rPr>
                <w:rFonts w:ascii="Arial" w:eastAsia="Arial" w:hAnsi="Arial" w:cs="Arial"/>
                <w:sz w:val="24"/>
                <w:szCs w:val="24"/>
              </w:rPr>
              <w:t>uding the amount of money attributed to each risk and/or contingency; and</w:t>
            </w:r>
          </w:p>
          <w:p w:rsidR="001A521A" w:rsidRDefault="00EA319E">
            <w:pPr>
              <w:numPr>
                <w:ilvl w:val="0"/>
                <w:numId w:val="14"/>
              </w:numPr>
              <w:tabs>
                <w:tab w:val="left" w:pos="-576"/>
                <w:tab w:val="left" w:pos="144"/>
              </w:tabs>
              <w:spacing w:after="120" w:line="240" w:lineRule="auto"/>
              <w:jc w:val="both"/>
            </w:pPr>
            <w:r>
              <w:rPr>
                <w:rFonts w:ascii="Arial" w:eastAsia="Arial" w:hAnsi="Arial" w:cs="Arial"/>
                <w:sz w:val="24"/>
                <w:szCs w:val="24"/>
              </w:rPr>
              <w:t>the actual Costs profile for each Service Period;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"Overhead"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w:t>
            </w:r>
            <w:r>
              <w:rPr>
                <w:rFonts w:ascii="Arial" w:eastAsia="Arial" w:hAnsi="Arial" w:cs="Arial"/>
                <w:color w:val="000000"/>
                <w:sz w:val="24"/>
                <w:szCs w:val="24"/>
              </w:rPr>
              <w:t>, advertising, research and development and insurance costs and any fines or penalties) but excluding allowable indirect costs apportioned to facilities and administration in the provision of Supplier Staff and accordingly included within limb (a) of the d</w:t>
            </w:r>
            <w:r>
              <w:rPr>
                <w:rFonts w:ascii="Arial" w:eastAsia="Arial" w:hAnsi="Arial" w:cs="Arial"/>
                <w:color w:val="000000"/>
                <w:sz w:val="24"/>
                <w:szCs w:val="24"/>
              </w:rPr>
              <w:t>efinition of "Costs";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“PAS 79”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3"/>
                <w:szCs w:val="23"/>
              </w:rPr>
              <w:t>Publicly available specification (</w:t>
            </w:r>
            <w:r>
              <w:rPr>
                <w:rFonts w:ascii="Arial" w:eastAsia="Arial" w:hAnsi="Arial" w:cs="Arial"/>
                <w:sz w:val="24"/>
                <w:szCs w:val="24"/>
              </w:rPr>
              <w:t>PAS 79) is a particular way to carry out a fire risk assessment.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w:t>
            </w:r>
            <w:r>
              <w:rPr>
                <w:rFonts w:ascii="Arial" w:eastAsia="Arial" w:hAnsi="Arial" w:cs="Arial"/>
                <w:color w:val="000000"/>
                <w:sz w:val="24"/>
                <w:szCs w:val="24"/>
              </w:rPr>
              <w:t>aning given to it in the GDPR;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“PMO”</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Project Management Office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a legal adviser, an MP or an appropriate b</w:t>
            </w:r>
            <w:r>
              <w:rPr>
                <w:rFonts w:ascii="Arial" w:eastAsia="Arial" w:hAnsi="Arial" w:cs="Arial"/>
                <w:color w:val="000000"/>
                <w:sz w:val="24"/>
                <w:szCs w:val="24"/>
              </w:rPr>
              <w:t xml:space="preserve">ody which a whistle-blower may make a disclosure to as detailed in ‘Whistleblowing: list of prescribed people and bodies’, 24 November 2016, available online at: </w:t>
            </w:r>
            <w:hyperlink r:id="rId8">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w:t>
            </w:r>
            <w:r>
              <w:rPr>
                <w:rFonts w:ascii="Arial" w:eastAsia="Arial" w:hAnsi="Arial" w:cs="Arial"/>
                <w:color w:val="000000"/>
                <w:sz w:val="24"/>
                <w:szCs w:val="24"/>
              </w:rPr>
              <w:t>nts and suppliers of the Processor and/or of any Subprocessor engaged in the performance of its obligations under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w:t>
            </w:r>
            <w:r>
              <w:rPr>
                <w:rFonts w:ascii="Arial" w:eastAsia="Arial" w:hAnsi="Arial" w:cs="Arial"/>
                <w:color w:val="000000"/>
                <w:sz w:val="24"/>
                <w:szCs w:val="24"/>
              </w:rPr>
              <w:t>tones or delivery dates;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numPr>
                <w:ilvl w:val="0"/>
                <w:numId w:val="18"/>
              </w:numPr>
              <w:tabs>
                <w:tab w:val="left" w:pos="-576"/>
                <w:tab w:val="left" w:pos="144"/>
              </w:tabs>
              <w:jc w:val="both"/>
              <w:rPr>
                <w:color w:val="000000"/>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1A521A" w:rsidRDefault="00EA319E">
            <w:pPr>
              <w:numPr>
                <w:ilvl w:val="2"/>
                <w:numId w:val="23"/>
              </w:numPr>
              <w:tabs>
                <w:tab w:val="left" w:pos="-179"/>
                <w:tab w:val="left" w:pos="-9"/>
              </w:tabs>
              <w:spacing w:after="120" w:line="240" w:lineRule="auto"/>
              <w:ind w:left="792"/>
              <w:jc w:val="both"/>
              <w:rPr>
                <w:color w:val="000000"/>
              </w:rPr>
            </w:pPr>
            <w:r>
              <w:rPr>
                <w:rFonts w:ascii="Arial" w:eastAsia="Arial" w:hAnsi="Arial" w:cs="Arial"/>
                <w:color w:val="000000"/>
                <w:sz w:val="24"/>
                <w:szCs w:val="24"/>
              </w:rPr>
              <w:t>induce that person to perform improperly a relevant function or activity; or</w:t>
            </w:r>
          </w:p>
          <w:p w:rsidR="001A521A" w:rsidRDefault="00EA319E">
            <w:pPr>
              <w:numPr>
                <w:ilvl w:val="2"/>
                <w:numId w:val="23"/>
              </w:numPr>
              <w:tabs>
                <w:tab w:val="left" w:pos="-179"/>
                <w:tab w:val="left" w:pos="-9"/>
              </w:tabs>
              <w:spacing w:after="120" w:line="240" w:lineRule="auto"/>
              <w:ind w:left="792"/>
              <w:jc w:val="both"/>
            </w:pPr>
            <w:r>
              <w:rPr>
                <w:rFonts w:ascii="Arial" w:eastAsia="Arial" w:hAnsi="Arial" w:cs="Arial"/>
                <w:color w:val="000000"/>
                <w:sz w:val="24"/>
                <w:szCs w:val="24"/>
              </w:rPr>
              <w:t xml:space="preserve"> reward that person for i</w:t>
            </w:r>
            <w:r>
              <w:rPr>
                <w:rFonts w:ascii="Arial" w:eastAsia="Arial" w:hAnsi="Arial" w:cs="Arial"/>
                <w:color w:val="000000"/>
                <w:sz w:val="24"/>
                <w:szCs w:val="24"/>
              </w:rPr>
              <w:t xml:space="preserve">mproper performance of a </w:t>
            </w:r>
            <w:r>
              <w:rPr>
                <w:rFonts w:ascii="Arial" w:eastAsia="Arial" w:hAnsi="Arial" w:cs="Arial"/>
                <w:sz w:val="24"/>
                <w:szCs w:val="24"/>
              </w:rPr>
              <w:t xml:space="preserve">relevant function or activity; </w:t>
            </w:r>
          </w:p>
          <w:p w:rsidR="001A521A" w:rsidRDefault="00EA319E">
            <w:pPr>
              <w:tabs>
                <w:tab w:val="left" w:pos="-576"/>
                <w:tab w:val="left" w:pos="144"/>
              </w:tabs>
              <w:spacing w:after="120" w:line="240" w:lineRule="auto"/>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rsidR="001A521A" w:rsidRDefault="00EA319E">
            <w:pPr>
              <w:tabs>
                <w:tab w:val="left" w:pos="-576"/>
                <w:tab w:val="left" w:pos="144"/>
              </w:tabs>
              <w:spacing w:after="120" w:line="240" w:lineRule="auto"/>
              <w:jc w:val="both"/>
              <w:rPr>
                <w:rFonts w:ascii="Arial" w:eastAsia="Arial" w:hAnsi="Arial" w:cs="Arial"/>
                <w:sz w:val="24"/>
                <w:szCs w:val="24"/>
              </w:rPr>
            </w:pPr>
            <w:r>
              <w:rPr>
                <w:rFonts w:ascii="Arial" w:eastAsia="Arial" w:hAnsi="Arial" w:cs="Arial"/>
                <w:sz w:val="24"/>
                <w:szCs w:val="24"/>
              </w:rPr>
              <w:t>c) committing any offence:</w:t>
            </w:r>
            <w:r>
              <w:rPr>
                <w:rFonts w:ascii="Arial" w:eastAsia="Arial" w:hAnsi="Arial" w:cs="Arial"/>
                <w:sz w:val="24"/>
                <w:szCs w:val="24"/>
              </w:rPr>
              <w:tab/>
            </w:r>
          </w:p>
          <w:p w:rsidR="001A521A" w:rsidRDefault="00EA319E">
            <w:pPr>
              <w:numPr>
                <w:ilvl w:val="2"/>
                <w:numId w:val="23"/>
              </w:numPr>
              <w:tabs>
                <w:tab w:val="left" w:pos="-179"/>
                <w:tab w:val="left" w:pos="-9"/>
              </w:tabs>
              <w:spacing w:after="120" w:line="240" w:lineRule="auto"/>
              <w:ind w:left="792"/>
              <w:jc w:val="both"/>
              <w:rPr>
                <w:color w:val="000000"/>
              </w:rPr>
            </w:pPr>
            <w:r>
              <w:rPr>
                <w:rFonts w:ascii="Arial" w:eastAsia="Arial" w:hAnsi="Arial" w:cs="Arial"/>
                <w:color w:val="000000"/>
                <w:sz w:val="24"/>
                <w:szCs w:val="24"/>
              </w:rPr>
              <w:t>unde</w:t>
            </w:r>
            <w:r>
              <w:rPr>
                <w:rFonts w:ascii="Arial" w:eastAsia="Arial" w:hAnsi="Arial" w:cs="Arial"/>
                <w:color w:val="000000"/>
                <w:sz w:val="24"/>
                <w:szCs w:val="24"/>
              </w:rPr>
              <w:t>r the Bribery Act 2010 (or any legislation repealed or revoked by such Act); or</w:t>
            </w:r>
          </w:p>
          <w:p w:rsidR="001A521A" w:rsidRDefault="00EA319E">
            <w:pPr>
              <w:numPr>
                <w:ilvl w:val="2"/>
                <w:numId w:val="23"/>
              </w:numPr>
              <w:tabs>
                <w:tab w:val="left" w:pos="-179"/>
                <w:tab w:val="left" w:pos="-9"/>
              </w:tabs>
              <w:spacing w:after="120" w:line="240" w:lineRule="auto"/>
              <w:ind w:left="792"/>
              <w:jc w:val="both"/>
              <w:rPr>
                <w:color w:val="000000"/>
              </w:rPr>
            </w:pPr>
            <w:r>
              <w:rPr>
                <w:rFonts w:ascii="Arial" w:eastAsia="Arial" w:hAnsi="Arial" w:cs="Arial"/>
                <w:color w:val="000000"/>
                <w:sz w:val="24"/>
                <w:szCs w:val="24"/>
              </w:rPr>
              <w:t>under legislation or common law concerning fraudulent acts; or</w:t>
            </w:r>
          </w:p>
          <w:p w:rsidR="001A521A" w:rsidRDefault="00EA319E">
            <w:pPr>
              <w:numPr>
                <w:ilvl w:val="2"/>
                <w:numId w:val="23"/>
              </w:numPr>
              <w:tabs>
                <w:tab w:val="left" w:pos="-179"/>
                <w:tab w:val="left" w:pos="-9"/>
              </w:tabs>
              <w:spacing w:after="120" w:line="240" w:lineRule="auto"/>
              <w:ind w:left="792"/>
              <w:jc w:val="both"/>
              <w:rPr>
                <w:color w:val="000000"/>
              </w:rPr>
            </w:pPr>
            <w:r>
              <w:rPr>
                <w:rFonts w:ascii="Arial" w:eastAsia="Arial" w:hAnsi="Arial" w:cs="Arial"/>
                <w:color w:val="000000"/>
                <w:sz w:val="24"/>
                <w:szCs w:val="24"/>
              </w:rPr>
              <w:t xml:space="preserve">defrauding, attempting to defraud or conspiring to defraud a Buyer or other public body; or </w:t>
            </w:r>
          </w:p>
          <w:p w:rsidR="001A521A" w:rsidRDefault="00EA319E">
            <w:pPr>
              <w:tabs>
                <w:tab w:val="left" w:pos="-576"/>
                <w:tab w:val="left" w:pos="144"/>
              </w:tabs>
              <w:spacing w:after="120" w:line="240" w:lineRule="auto"/>
              <w:jc w:val="both"/>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w:t>
            </w:r>
            <w:r>
              <w:rPr>
                <w:rFonts w:ascii="Arial" w:eastAsia="Arial" w:hAnsi="Arial" w:cs="Arial"/>
                <w:color w:val="000000"/>
                <w:sz w:val="24"/>
                <w:szCs w:val="24"/>
              </w:rPr>
              <w:t>ctice or conduct which would constitute one of the offences listed under (c) above if such activity, practice or conduct had been carried out in the UK;</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222222"/>
                <w:sz w:val="24"/>
                <w:szCs w:val="24"/>
              </w:rPr>
            </w:pPr>
            <w:r>
              <w:rPr>
                <w:rFonts w:ascii="Arial" w:eastAsia="Arial" w:hAnsi="Arial" w:cs="Arial"/>
                <w:b/>
                <w:color w:val="222222"/>
                <w:sz w:val="24"/>
                <w:szCs w:val="24"/>
              </w:rPr>
              <w:t>“PPE”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222222"/>
                <w:sz w:val="24"/>
                <w:szCs w:val="24"/>
              </w:rPr>
            </w:pPr>
            <w:r>
              <w:rPr>
                <w:rFonts w:ascii="Arial" w:eastAsia="Arial" w:hAnsi="Arial" w:cs="Arial"/>
                <w:color w:val="222222"/>
                <w:sz w:val="24"/>
                <w:szCs w:val="24"/>
              </w:rPr>
              <w:t>Personal Protective Equipment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222222"/>
                <w:sz w:val="24"/>
                <w:szCs w:val="24"/>
              </w:rPr>
            </w:pPr>
            <w:r>
              <w:rPr>
                <w:rFonts w:ascii="Arial" w:eastAsia="Arial" w:hAnsi="Arial" w:cs="Arial"/>
                <w:b/>
                <w:color w:val="222222"/>
                <w:sz w:val="24"/>
                <w:szCs w:val="24"/>
              </w:rPr>
              <w:t>“PPM”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222222"/>
                <w:sz w:val="24"/>
                <w:szCs w:val="24"/>
              </w:rPr>
            </w:pPr>
            <w:r>
              <w:rPr>
                <w:rFonts w:ascii="Arial" w:eastAsia="Arial" w:hAnsi="Arial" w:cs="Arial"/>
                <w:color w:val="222222"/>
                <w:sz w:val="24"/>
                <w:szCs w:val="24"/>
              </w:rPr>
              <w:t>Planned Preventative maintenance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222222"/>
                <w:sz w:val="24"/>
                <w:szCs w:val="24"/>
              </w:rPr>
            </w:pPr>
            <w:r>
              <w:rPr>
                <w:rFonts w:ascii="Arial" w:eastAsia="Arial" w:hAnsi="Arial" w:cs="Arial"/>
                <w:b/>
                <w:color w:val="222222"/>
                <w:sz w:val="24"/>
                <w:szCs w:val="24"/>
              </w:rPr>
              <w:t>“PTW's”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222222"/>
                <w:sz w:val="24"/>
                <w:szCs w:val="24"/>
              </w:rPr>
            </w:pPr>
            <w:r>
              <w:rPr>
                <w:rFonts w:ascii="Arial" w:eastAsia="Arial" w:hAnsi="Arial" w:cs="Arial"/>
                <w:color w:val="222222"/>
                <w:sz w:val="24"/>
                <w:szCs w:val="24"/>
              </w:rPr>
              <w:t>Permit to work</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222222"/>
                <w:sz w:val="24"/>
                <w:szCs w:val="24"/>
              </w:rPr>
            </w:pPr>
            <w:r>
              <w:rPr>
                <w:rFonts w:ascii="Arial" w:eastAsia="Arial" w:hAnsi="Arial" w:cs="Arial"/>
                <w:b/>
                <w:color w:val="222222"/>
                <w:sz w:val="24"/>
                <w:szCs w:val="24"/>
              </w:rPr>
              <w:t>“RIBA stages”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222222"/>
                <w:sz w:val="24"/>
                <w:szCs w:val="24"/>
              </w:rPr>
            </w:pPr>
            <w:r>
              <w:rPr>
                <w:rFonts w:ascii="Arial" w:eastAsia="Arial" w:hAnsi="Arial" w:cs="Arial"/>
                <w:color w:val="222222"/>
                <w:sz w:val="24"/>
                <w:szCs w:val="24"/>
              </w:rPr>
              <w:t>RIBA Plan of Work Project eight stages.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“RICS”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sz w:val="24"/>
                <w:szCs w:val="24"/>
              </w:rPr>
              <w:t xml:space="preserve">Royal Institute of Chartered Surveyors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Party which r</w:t>
            </w:r>
            <w:r>
              <w:rPr>
                <w:rFonts w:ascii="Arial" w:eastAsia="Arial" w:hAnsi="Arial" w:cs="Arial"/>
                <w:color w:val="000000"/>
                <w:sz w:val="24"/>
                <w:szCs w:val="24"/>
              </w:rPr>
              <w:t>eceives or obtains directly or indirectly Confidential Information;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numPr>
                <w:ilvl w:val="0"/>
                <w:numId w:val="5"/>
              </w:numPr>
              <w:tabs>
                <w:tab w:val="left" w:pos="-179"/>
                <w:tab w:val="left" w:pos="-9"/>
              </w:tabs>
              <w:jc w:val="both"/>
              <w:rPr>
                <w:color w:val="000000"/>
              </w:rPr>
            </w:pPr>
            <w:r>
              <w:rPr>
                <w:rFonts w:ascii="Arial" w:eastAsia="Arial" w:hAnsi="Arial" w:cs="Arial"/>
                <w:color w:val="000000"/>
                <w:sz w:val="24"/>
                <w:szCs w:val="24"/>
              </w:rPr>
              <w:t>the Supplier’s plan (or revised plan) to rectify it’s breach using the template in Joint Schedule 10 (Rectification Plan) which shall include:</w:t>
            </w:r>
          </w:p>
          <w:p w:rsidR="001A521A" w:rsidRDefault="00EA319E">
            <w:pPr>
              <w:numPr>
                <w:ilvl w:val="0"/>
                <w:numId w:val="5"/>
              </w:numPr>
              <w:tabs>
                <w:tab w:val="left" w:pos="-179"/>
                <w:tab w:val="left" w:pos="-9"/>
              </w:tabs>
              <w:jc w:val="both"/>
              <w:rPr>
                <w:color w:val="000000"/>
              </w:rPr>
            </w:pPr>
            <w:r>
              <w:rPr>
                <w:rFonts w:ascii="Arial" w:eastAsia="Arial" w:hAnsi="Arial" w:cs="Arial"/>
                <w:color w:val="000000"/>
                <w:sz w:val="24"/>
                <w:szCs w:val="24"/>
              </w:rPr>
              <w:t>full details of the Def</w:t>
            </w:r>
            <w:r>
              <w:rPr>
                <w:rFonts w:ascii="Arial" w:eastAsia="Arial" w:hAnsi="Arial" w:cs="Arial"/>
                <w:color w:val="000000"/>
                <w:sz w:val="24"/>
                <w:szCs w:val="24"/>
              </w:rPr>
              <w:t xml:space="preserve">ault that has occurred, including a root cause analysis; </w:t>
            </w:r>
          </w:p>
          <w:p w:rsidR="001A521A" w:rsidRDefault="00EA319E">
            <w:pPr>
              <w:numPr>
                <w:ilvl w:val="0"/>
                <w:numId w:val="5"/>
              </w:numPr>
              <w:tabs>
                <w:tab w:val="left" w:pos="-179"/>
                <w:tab w:val="left" w:pos="-9"/>
              </w:tabs>
              <w:jc w:val="both"/>
              <w:rPr>
                <w:color w:val="000000"/>
              </w:rPr>
            </w:pPr>
            <w:r>
              <w:rPr>
                <w:rFonts w:ascii="Arial" w:eastAsia="Arial" w:hAnsi="Arial" w:cs="Arial"/>
                <w:color w:val="000000"/>
                <w:sz w:val="24"/>
                <w:szCs w:val="24"/>
              </w:rPr>
              <w:t>the actual or anticipated effect of the Default; and</w:t>
            </w:r>
          </w:p>
          <w:p w:rsidR="001A521A" w:rsidRDefault="00EA319E">
            <w:pPr>
              <w:numPr>
                <w:ilvl w:val="0"/>
                <w:numId w:val="5"/>
              </w:numPr>
              <w:tabs>
                <w:tab w:val="left" w:pos="-179"/>
                <w:tab w:val="left" w:pos="-9"/>
              </w:tabs>
              <w:spacing w:after="120" w:line="240" w:lineRule="auto"/>
              <w:jc w:val="both"/>
              <w:rPr>
                <w:color w:val="000000"/>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1A521A" w:rsidRDefault="00EA319E">
            <w:pPr>
              <w:numPr>
                <w:ilvl w:val="0"/>
                <w:numId w:val="16"/>
              </w:numPr>
              <w:tabs>
                <w:tab w:val="left" w:pos="-179"/>
                <w:tab w:val="left" w:pos="-9"/>
              </w:tabs>
              <w:jc w:val="both"/>
              <w:rPr>
                <w:color w:val="000000"/>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1A521A" w:rsidRDefault="00EA319E">
            <w:pPr>
              <w:numPr>
                <w:ilvl w:val="0"/>
                <w:numId w:val="16"/>
              </w:numPr>
              <w:tabs>
                <w:tab w:val="left" w:pos="-179"/>
                <w:tab w:val="left" w:pos="-9"/>
              </w:tabs>
              <w:spacing w:after="120" w:line="240" w:lineRule="auto"/>
              <w:jc w:val="both"/>
              <w:rPr>
                <w:color w:val="000000"/>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Authority which is</w:t>
            </w:r>
            <w:r>
              <w:rPr>
                <w:rFonts w:ascii="Arial" w:eastAsia="Arial" w:hAnsi="Arial" w:cs="Arial"/>
                <w:color w:val="000000"/>
                <w:sz w:val="24"/>
                <w:szCs w:val="24"/>
              </w:rPr>
              <w:t xml:space="preserve"> party to the Contract to which a right or obligation is owed, as the context requires;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numPr>
                <w:ilvl w:val="0"/>
                <w:numId w:val="22"/>
              </w:numPr>
              <w:tabs>
                <w:tab w:val="left" w:pos="-576"/>
                <w:tab w:val="left" w:pos="144"/>
              </w:tabs>
              <w:jc w:val="both"/>
              <w:rPr>
                <w:color w:val="000000"/>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1A521A" w:rsidRDefault="00EA319E">
            <w:pPr>
              <w:numPr>
                <w:ilvl w:val="0"/>
                <w:numId w:val="22"/>
              </w:numPr>
              <w:tabs>
                <w:tab w:val="left" w:pos="-576"/>
                <w:tab w:val="left" w:pos="144"/>
              </w:tabs>
              <w:spacing w:after="120" w:line="240" w:lineRule="auto"/>
              <w:jc w:val="both"/>
              <w:rPr>
                <w:color w:val="000000"/>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w:t>
            </w:r>
            <w:r>
              <w:rPr>
                <w:rFonts w:ascii="Arial" w:eastAsia="Arial" w:hAnsi="Arial" w:cs="Arial"/>
                <w:color w:val="000000"/>
                <w:sz w:val="24"/>
                <w:szCs w:val="24"/>
              </w:rPr>
              <w:t>e pursuant to section 9 of the Bribery Act 2010;</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985"/>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985"/>
                <w:tab w:val="left" w:pos="2127"/>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Subcontractor of the Replacement Sup</w:t>
            </w:r>
            <w:r>
              <w:rPr>
                <w:rFonts w:ascii="Arial" w:eastAsia="Arial" w:hAnsi="Arial" w:cs="Arial"/>
                <w:color w:val="000000"/>
                <w:sz w:val="24"/>
                <w:szCs w:val="24"/>
              </w:rPr>
              <w:t xml:space="preserve">plier to whom Transferring Supplier Employees will transfer on a Service Transfer Date (or any Subcontractor of any such Subcontractor);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w:t>
            </w:r>
            <w:r>
              <w:rPr>
                <w:rFonts w:ascii="Arial" w:eastAsia="Arial" w:hAnsi="Arial" w:cs="Arial"/>
                <w:color w:val="000000"/>
                <w:sz w:val="24"/>
                <w:szCs w:val="24"/>
              </w:rPr>
              <w:t>uyer from time to time or where the Buyer is providing Replacement Deliverables for its own account, shall also include the Buyer;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insurances required by Joint Schedule 3 (Insura</w:t>
            </w:r>
            <w:r>
              <w:rPr>
                <w:rFonts w:ascii="Arial" w:eastAsia="Arial" w:hAnsi="Arial" w:cs="Arial"/>
                <w:color w:val="000000"/>
                <w:sz w:val="24"/>
                <w:szCs w:val="24"/>
              </w:rPr>
              <w:t xml:space="preserve">nce Requirements) or any additional insurances specified in the Order Form;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w:t>
            </w:r>
            <w:r>
              <w:rPr>
                <w:rFonts w:ascii="Arial" w:eastAsia="Arial" w:hAnsi="Arial" w:cs="Arial"/>
                <w:color w:val="000000"/>
                <w:sz w:val="24"/>
                <w:szCs w:val="24"/>
              </w:rPr>
              <w:t>y the Parties where Call-Off Schedule 13 is not used in this Contract) granted by the Buyer when the Supplier has met all of the requirements of an Order, Achieved a Milestone or a Test;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sz w:val="24"/>
                <w:szCs w:val="24"/>
              </w:rPr>
            </w:pPr>
            <w:r>
              <w:rPr>
                <w:rFonts w:ascii="Arial" w:eastAsia="Arial" w:hAnsi="Arial" w:cs="Arial"/>
                <w:b/>
                <w:sz w:val="24"/>
                <w:szCs w:val="24"/>
              </w:rPr>
              <w:t>“SC”</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sz w:val="24"/>
                <w:szCs w:val="24"/>
              </w:rPr>
              <w:t>Security Check (SC)</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“SDP’s”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Service Delivery Plans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“SFG20”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Standard maintenance specification for building engineering services.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Buyer's security policy, </w:t>
            </w:r>
            <w:r>
              <w:rPr>
                <w:rFonts w:ascii="Arial" w:eastAsia="Arial" w:hAnsi="Arial" w:cs="Arial"/>
                <w:color w:val="000000"/>
                <w:sz w:val="24"/>
                <w:szCs w:val="24"/>
              </w:rPr>
              <w:t>referred to in the Order Form, in force as at the Call-Off Start Date (a copy of which has been supplied to the Supplier), as updated from time to time and notified to the Supplier;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means the certificate in the form as set out in </w:t>
            </w:r>
            <w:r>
              <w:rPr>
                <w:rFonts w:ascii="Arial" w:eastAsia="Arial" w:hAnsi="Arial" w:cs="Arial"/>
                <w:color w:val="000000"/>
                <w:sz w:val="24"/>
                <w:szCs w:val="24"/>
              </w:rPr>
              <w:t>Framework Schedule 8 (Self Audit Certificate);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“Service Levels”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w:t>
            </w:r>
            <w:r>
              <w:rPr>
                <w:rFonts w:ascii="Arial" w:eastAsia="Arial" w:hAnsi="Arial" w:cs="Arial"/>
                <w:color w:val="000000"/>
                <w:sz w:val="24"/>
                <w:szCs w:val="24"/>
              </w:rPr>
              <w:t>eaning given to it in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any transfer of the De</w:t>
            </w:r>
            <w:r>
              <w:rPr>
                <w:rFonts w:ascii="Arial" w:eastAsia="Arial" w:hAnsi="Arial" w:cs="Arial"/>
                <w:color w:val="000000"/>
                <w:sz w:val="24"/>
                <w:szCs w:val="24"/>
              </w:rPr>
              <w:t>liverables (or any part of the Deliverables), for whatever reason, from the Supplier or any Subcontractor to a Replacement Supplier or a Replacement Subcontractor;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"Service Transfer Date"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1A521A" w:rsidRDefault="00EA319E">
            <w:pPr>
              <w:numPr>
                <w:ilvl w:val="0"/>
                <w:numId w:val="1"/>
              </w:numPr>
              <w:tabs>
                <w:tab w:val="left" w:pos="-576"/>
                <w:tab w:val="left" w:pos="144"/>
              </w:tabs>
              <w:jc w:val="both"/>
              <w:rPr>
                <w:color w:val="000000"/>
              </w:rPr>
            </w:pPr>
            <w:r>
              <w:rPr>
                <w:rFonts w:ascii="Arial" w:eastAsia="Arial" w:hAnsi="Arial" w:cs="Arial"/>
                <w:color w:val="000000"/>
                <w:sz w:val="24"/>
                <w:szCs w:val="24"/>
              </w:rPr>
              <w:t>the Deliverables are (or are to be) provided; or</w:t>
            </w:r>
          </w:p>
          <w:p w:rsidR="001A521A" w:rsidRDefault="00EA319E">
            <w:pPr>
              <w:numPr>
                <w:ilvl w:val="0"/>
                <w:numId w:val="1"/>
              </w:numPr>
              <w:tabs>
                <w:tab w:val="left" w:pos="-576"/>
                <w:tab w:val="left" w:pos="144"/>
              </w:tabs>
              <w:spacing w:after="120" w:line="240" w:lineRule="auto"/>
              <w:jc w:val="both"/>
              <w:rPr>
                <w:color w:val="000000"/>
              </w:rPr>
            </w:pPr>
            <w:r>
              <w:rPr>
                <w:rFonts w:ascii="Arial" w:eastAsia="Arial" w:hAnsi="Arial" w:cs="Arial"/>
                <w:color w:val="000000"/>
                <w:sz w:val="24"/>
                <w:szCs w:val="24"/>
              </w:rPr>
              <w:t>the Supplier manages, organises or otherwise directs the provision or the use of the Deliverables;</w:t>
            </w:r>
          </w:p>
        </w:tc>
      </w:tr>
      <w:tr w:rsidR="001A521A">
        <w:trPr>
          <w:trHeight w:val="94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w:t>
            </w:r>
            <w:r>
              <w:rPr>
                <w:rFonts w:ascii="Arial" w:eastAsia="Arial" w:hAnsi="Arial" w:cs="Arial"/>
                <w:color w:val="000000"/>
                <w:sz w:val="24"/>
                <w:szCs w:val="24"/>
              </w:rPr>
              <w:t>ng the definition of micro, small and medium enterprises;</w:t>
            </w:r>
          </w:p>
        </w:tc>
      </w:tr>
      <w:tr w:rsidR="001A521A">
        <w:trPr>
          <w:trHeight w:val="94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“SOP's”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Standard Operating Procedures</w:t>
            </w:r>
          </w:p>
        </w:tc>
      </w:tr>
      <w:tr w:rsidR="001A521A">
        <w:trPr>
          <w:trHeight w:val="94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1A521A">
        <w:trPr>
          <w:trHeight w:val="94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w:t>
            </w:r>
            <w:r>
              <w:rPr>
                <w:rFonts w:ascii="Arial" w:eastAsia="Arial" w:hAnsi="Arial" w:cs="Arial"/>
                <w:color w:val="000000"/>
                <w:sz w:val="24"/>
                <w:szCs w:val="24"/>
              </w:rPr>
              <w:t>te;</w:t>
            </w:r>
          </w:p>
        </w:tc>
      </w:tr>
      <w:tr w:rsidR="001A521A">
        <w:trPr>
          <w:trHeight w:val="94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w:t>
            </w:r>
          </w:p>
          <w:p w:rsidR="001A521A" w:rsidRDefault="00EA319E">
            <w:pPr>
              <w:numPr>
                <w:ilvl w:val="0"/>
                <w:numId w:val="2"/>
              </w:numPr>
              <w:tabs>
                <w:tab w:val="left" w:pos="-576"/>
                <w:tab w:val="left" w:pos="144"/>
              </w:tabs>
              <w:jc w:val="both"/>
              <w:rPr>
                <w:color w:val="000000"/>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1A521A" w:rsidRDefault="00EA319E">
            <w:pPr>
              <w:numPr>
                <w:ilvl w:val="0"/>
                <w:numId w:val="2"/>
              </w:numPr>
              <w:tabs>
                <w:tab w:val="left" w:pos="-576"/>
                <w:tab w:val="left" w:pos="144"/>
              </w:tabs>
              <w:jc w:val="both"/>
              <w:rPr>
                <w:color w:val="000000"/>
              </w:rPr>
            </w:pPr>
            <w:r>
              <w:rPr>
                <w:rFonts w:ascii="Arial" w:eastAsia="Arial" w:hAnsi="Arial" w:cs="Arial"/>
                <w:color w:val="000000"/>
                <w:sz w:val="24"/>
                <w:szCs w:val="24"/>
              </w:rPr>
              <w:t>standards detailed in the specification in Schedule 1 (Specification);</w:t>
            </w:r>
          </w:p>
          <w:p w:rsidR="001A521A" w:rsidRDefault="00EA319E">
            <w:pPr>
              <w:numPr>
                <w:ilvl w:val="0"/>
                <w:numId w:val="2"/>
              </w:numPr>
              <w:tabs>
                <w:tab w:val="left" w:pos="-576"/>
                <w:tab w:val="left" w:pos="144"/>
              </w:tabs>
              <w:jc w:val="both"/>
              <w:rPr>
                <w:color w:val="000000"/>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1A521A" w:rsidRDefault="00EA319E">
            <w:pPr>
              <w:numPr>
                <w:ilvl w:val="0"/>
                <w:numId w:val="2"/>
              </w:numPr>
              <w:tabs>
                <w:tab w:val="left" w:pos="-576"/>
                <w:tab w:val="left" w:pos="144"/>
              </w:tabs>
              <w:spacing w:after="120" w:line="240" w:lineRule="auto"/>
              <w:jc w:val="both"/>
              <w:rPr>
                <w:color w:val="000000"/>
              </w:rPr>
            </w:pPr>
            <w:r>
              <w:rPr>
                <w:rFonts w:ascii="Arial" w:eastAsia="Arial" w:hAnsi="Arial" w:cs="Arial"/>
                <w:color w:val="000000"/>
                <w:sz w:val="24"/>
                <w:szCs w:val="24"/>
              </w:rPr>
              <w:t>relevant Government codes of practice and guidance applicable from time to time;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w:t>
            </w:r>
            <w:r>
              <w:rPr>
                <w:rFonts w:ascii="Arial" w:eastAsia="Arial" w:hAnsi="Arial" w:cs="Arial"/>
                <w:color w:val="000000"/>
                <w:sz w:val="24"/>
                <w:szCs w:val="24"/>
              </w:rPr>
              <w:t>ract, the date specified in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1A521A" w:rsidRDefault="00EA319E">
            <w:pPr>
              <w:numPr>
                <w:ilvl w:val="0"/>
                <w:numId w:val="17"/>
              </w:numPr>
              <w:tabs>
                <w:tab w:val="left" w:pos="-576"/>
                <w:tab w:val="left" w:pos="144"/>
              </w:tabs>
              <w:jc w:val="both"/>
              <w:rPr>
                <w:color w:val="000000"/>
              </w:rPr>
            </w:pPr>
            <w:r>
              <w:rPr>
                <w:rFonts w:ascii="Arial" w:eastAsia="Arial" w:hAnsi="Arial" w:cs="Arial"/>
                <w:color w:val="000000"/>
                <w:sz w:val="24"/>
                <w:szCs w:val="24"/>
              </w:rPr>
              <w:t>provides the D</w:t>
            </w:r>
            <w:r>
              <w:rPr>
                <w:rFonts w:ascii="Arial" w:eastAsia="Arial" w:hAnsi="Arial" w:cs="Arial"/>
                <w:color w:val="000000"/>
                <w:sz w:val="24"/>
                <w:szCs w:val="24"/>
              </w:rPr>
              <w:t>eliverables (or any part of them);</w:t>
            </w:r>
          </w:p>
          <w:p w:rsidR="001A521A" w:rsidRDefault="00EA319E">
            <w:pPr>
              <w:numPr>
                <w:ilvl w:val="0"/>
                <w:numId w:val="17"/>
              </w:numPr>
              <w:tabs>
                <w:tab w:val="left" w:pos="-576"/>
                <w:tab w:val="left" w:pos="144"/>
              </w:tabs>
              <w:jc w:val="both"/>
              <w:rPr>
                <w:color w:val="000000"/>
              </w:rPr>
            </w:pPr>
            <w:r>
              <w:rPr>
                <w:rFonts w:ascii="Arial" w:eastAsia="Arial" w:hAnsi="Arial" w:cs="Arial"/>
                <w:color w:val="000000"/>
                <w:sz w:val="24"/>
                <w:szCs w:val="24"/>
              </w:rPr>
              <w:t>provides facilities or services necessary for the provision of the Deliverables (or any part of them); and/or</w:t>
            </w:r>
          </w:p>
          <w:p w:rsidR="001A521A" w:rsidRDefault="00EA319E">
            <w:pPr>
              <w:numPr>
                <w:ilvl w:val="0"/>
                <w:numId w:val="17"/>
              </w:numPr>
              <w:tabs>
                <w:tab w:val="left" w:pos="-576"/>
                <w:tab w:val="left" w:pos="144"/>
              </w:tabs>
              <w:spacing w:after="120" w:line="240" w:lineRule="auto"/>
              <w:jc w:val="both"/>
              <w:rPr>
                <w:color w:val="000000"/>
              </w:rPr>
            </w:pPr>
            <w:r>
              <w:rPr>
                <w:rFonts w:ascii="Arial" w:eastAsia="Arial" w:hAnsi="Arial" w:cs="Arial"/>
                <w:color w:val="000000"/>
                <w:sz w:val="24"/>
                <w:szCs w:val="24"/>
              </w:rPr>
              <w:t>is responsible for the management, direction or control of the provision of the Deliverables (or any part of them);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222222"/>
                <w:sz w:val="24"/>
                <w:szCs w:val="24"/>
              </w:rPr>
            </w:pPr>
            <w:r>
              <w:rPr>
                <w:rFonts w:ascii="Arial" w:eastAsia="Arial" w:hAnsi="Arial" w:cs="Arial"/>
                <w:b/>
                <w:color w:val="222222"/>
                <w:sz w:val="24"/>
                <w:szCs w:val="24"/>
              </w:rPr>
              <w:t>"Subcontractor"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"Subproces</w:t>
            </w:r>
            <w:r>
              <w:rPr>
                <w:rFonts w:ascii="Arial" w:eastAsia="Arial" w:hAnsi="Arial" w:cs="Arial"/>
                <w:b/>
                <w:color w:val="000000"/>
                <w:sz w:val="24"/>
                <w:szCs w:val="24"/>
              </w:rPr>
              <w:t>sor"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222222"/>
                <w:sz w:val="24"/>
                <w:szCs w:val="24"/>
              </w:rPr>
            </w:pPr>
            <w:r>
              <w:rPr>
                <w:rFonts w:ascii="Arial" w:eastAsia="Arial" w:hAnsi="Arial" w:cs="Arial"/>
                <w:b/>
                <w:color w:val="222222"/>
                <w:sz w:val="24"/>
                <w:szCs w:val="24"/>
              </w:rPr>
              <w:t>"Supplier"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222222"/>
                <w:sz w:val="24"/>
                <w:szCs w:val="24"/>
              </w:rPr>
            </w:pPr>
            <w:r>
              <w:rPr>
                <w:rFonts w:ascii="Arial" w:eastAsia="Arial" w:hAnsi="Arial" w:cs="Arial"/>
                <w:color w:val="222222"/>
                <w:sz w:val="24"/>
                <w:szCs w:val="24"/>
              </w:rPr>
              <w:t>the person, firm or company identified in the Framework Award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w:t>
            </w:r>
            <w:r>
              <w:rPr>
                <w:rFonts w:ascii="Arial" w:eastAsia="Arial" w:hAnsi="Arial" w:cs="Arial"/>
                <w:color w:val="000000"/>
                <w:sz w:val="24"/>
                <w:szCs w:val="24"/>
              </w:rPr>
              <w:t xml:space="preserve">Form, or later defined in a Call-Off Contract;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numPr>
                <w:ilvl w:val="0"/>
                <w:numId w:val="6"/>
              </w:numPr>
              <w:tabs>
                <w:tab w:val="left" w:pos="-576"/>
                <w:tab w:val="left" w:pos="144"/>
              </w:tabs>
              <w:jc w:val="both"/>
              <w:rPr>
                <w:color w:val="000000"/>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w:t>
            </w:r>
            <w:r>
              <w:rPr>
                <w:rFonts w:ascii="Arial" w:eastAsia="Arial" w:hAnsi="Arial" w:cs="Arial"/>
                <w:color w:val="000000"/>
                <w:sz w:val="24"/>
                <w:szCs w:val="24"/>
              </w:rPr>
              <w:t xml:space="preserve">ow-How, and/or personnel of the Supplier; </w:t>
            </w:r>
          </w:p>
          <w:p w:rsidR="001A521A" w:rsidRDefault="00EA319E">
            <w:pPr>
              <w:numPr>
                <w:ilvl w:val="0"/>
                <w:numId w:val="6"/>
              </w:numPr>
              <w:tabs>
                <w:tab w:val="left" w:pos="-576"/>
                <w:tab w:val="left" w:pos="144"/>
              </w:tabs>
              <w:jc w:val="both"/>
              <w:rPr>
                <w:color w:val="000000"/>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w:t>
            </w:r>
            <w:r>
              <w:rPr>
                <w:rFonts w:ascii="Arial" w:eastAsia="Arial" w:hAnsi="Arial" w:cs="Arial"/>
                <w:color w:val="000000"/>
                <w:sz w:val="24"/>
                <w:szCs w:val="24"/>
              </w:rPr>
              <w:t>plier’s attention or into the Supplier’s possession in connection with a Contract;</w:t>
            </w:r>
          </w:p>
          <w:p w:rsidR="001A521A" w:rsidRDefault="00EA319E">
            <w:pPr>
              <w:numPr>
                <w:ilvl w:val="0"/>
                <w:numId w:val="6"/>
              </w:numPr>
              <w:tabs>
                <w:tab w:val="left" w:pos="-576"/>
                <w:tab w:val="left" w:pos="144"/>
              </w:tabs>
              <w:spacing w:after="120" w:line="240" w:lineRule="auto"/>
              <w:jc w:val="both"/>
              <w:rPr>
                <w:color w:val="000000"/>
              </w:rPr>
            </w:pPr>
            <w:r>
              <w:rPr>
                <w:rFonts w:ascii="Arial" w:eastAsia="Arial" w:hAnsi="Arial" w:cs="Arial"/>
                <w:color w:val="000000"/>
                <w:sz w:val="24"/>
                <w:szCs w:val="24"/>
              </w:rPr>
              <w:t>Information derived from any of (a) and (b) above;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Supplier's hardware, computer and telecoms devices, equipment, plant, materials and such other items supplied and used by the Supplier (but not hired, leased or loaned from the Buyer) in the performance of its obligations </w:t>
            </w:r>
            <w:r>
              <w:rPr>
                <w:rFonts w:ascii="Arial" w:eastAsia="Arial" w:hAnsi="Arial" w:cs="Arial"/>
                <w:color w:val="000000"/>
                <w:sz w:val="24"/>
                <w:szCs w:val="24"/>
              </w:rPr>
              <w:t>under this Call-Off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1A521A" w:rsidRDefault="00EA319E">
            <w:pPr>
              <w:numPr>
                <w:ilvl w:val="0"/>
                <w:numId w:val="8"/>
              </w:numPr>
              <w:tabs>
                <w:tab w:val="left" w:pos="-576"/>
                <w:tab w:val="left" w:pos="144"/>
              </w:tabs>
              <w:jc w:val="both"/>
              <w:rPr>
                <w:color w:val="000000"/>
              </w:rPr>
            </w:pPr>
            <w:r>
              <w:rPr>
                <w:rFonts w:ascii="Arial" w:eastAsia="Arial" w:hAnsi="Arial" w:cs="Arial"/>
                <w:color w:val="000000"/>
                <w:sz w:val="24"/>
                <w:szCs w:val="24"/>
              </w:rPr>
              <w:t>Achieve a Milestone by its Milestone Date;</w:t>
            </w:r>
          </w:p>
          <w:p w:rsidR="001A521A" w:rsidRDefault="00EA319E">
            <w:pPr>
              <w:numPr>
                <w:ilvl w:val="0"/>
                <w:numId w:val="8"/>
              </w:numPr>
              <w:tabs>
                <w:tab w:val="left" w:pos="-576"/>
                <w:tab w:val="left" w:pos="144"/>
              </w:tabs>
              <w:jc w:val="both"/>
              <w:rPr>
                <w:color w:val="000000"/>
              </w:rPr>
            </w:pPr>
            <w:r>
              <w:rPr>
                <w:rFonts w:ascii="Arial" w:eastAsia="Arial" w:hAnsi="Arial" w:cs="Arial"/>
                <w:color w:val="000000"/>
                <w:sz w:val="24"/>
                <w:szCs w:val="24"/>
              </w:rPr>
              <w:t>provide the Goods and/or Services in accordance with the Service Levels ; and/or</w:t>
            </w:r>
          </w:p>
          <w:p w:rsidR="001A521A" w:rsidRDefault="00EA319E">
            <w:pPr>
              <w:numPr>
                <w:ilvl w:val="0"/>
                <w:numId w:val="8"/>
              </w:numPr>
              <w:tabs>
                <w:tab w:val="left" w:pos="-576"/>
                <w:tab w:val="left" w:pos="144"/>
              </w:tabs>
              <w:spacing w:after="120" w:line="240" w:lineRule="auto"/>
              <w:jc w:val="both"/>
              <w:rPr>
                <w:color w:val="000000"/>
              </w:rPr>
            </w:pPr>
            <w:r>
              <w:rPr>
                <w:rFonts w:ascii="Arial" w:eastAsia="Arial" w:hAnsi="Arial" w:cs="Arial"/>
                <w:color w:val="000000"/>
                <w:sz w:val="24"/>
                <w:szCs w:val="24"/>
              </w:rPr>
              <w:t>comply with an obligation under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p w:rsidR="001A521A" w:rsidRDefault="001A521A">
            <w:pPr>
              <w:tabs>
                <w:tab w:val="left" w:pos="-179"/>
                <w:tab w:val="left" w:pos="-9"/>
              </w:tabs>
              <w:spacing w:after="120" w:line="240" w:lineRule="auto"/>
              <w:jc w:val="both"/>
              <w:rPr>
                <w:rFonts w:ascii="Arial" w:eastAsia="Arial" w:hAnsi="Arial" w:cs="Arial"/>
                <w:sz w:val="24"/>
                <w:szCs w:val="24"/>
              </w:rPr>
            </w:pP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w:t>
            </w:r>
            <w:r>
              <w:rPr>
                <w:rFonts w:ascii="Arial" w:eastAsia="Arial" w:hAnsi="Arial" w:cs="Arial"/>
                <w:color w:val="000000"/>
                <w:sz w:val="24"/>
                <w:szCs w:val="24"/>
              </w:rPr>
              <w:t xml:space="preserve"> relation to a period or a Milestone (as the context requires), the Supplier Profit for the relevant period or in relation to the relevant Milestone divided by the total Charges over the same period or in relation to the relevant Milestone and expressed as</w:t>
            </w:r>
            <w:r>
              <w:rPr>
                <w:rFonts w:ascii="Arial" w:eastAsia="Arial" w:hAnsi="Arial" w:cs="Arial"/>
                <w:color w:val="000000"/>
                <w:sz w:val="24"/>
                <w:szCs w:val="24"/>
              </w:rPr>
              <w:t xml:space="preserve"> a percentage;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wr</w:t>
            </w:r>
            <w:r>
              <w:rPr>
                <w:rFonts w:ascii="Arial" w:eastAsia="Arial" w:hAnsi="Arial" w:cs="Arial"/>
                <w:color w:val="000000"/>
                <w:sz w:val="24"/>
                <w:szCs w:val="24"/>
              </w:rPr>
              <w:t xml:space="preserve">itten notice of termination given by one Party to the other, notifying the Party receiving the notice of the intention of the Party giving the notice to terminate a Contract on a specified date and setting out the grounds for termination;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"Test Issue"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plan:</w:t>
            </w:r>
          </w:p>
          <w:p w:rsidR="001A521A" w:rsidRDefault="00EA319E">
            <w:pPr>
              <w:numPr>
                <w:ilvl w:val="0"/>
                <w:numId w:val="9"/>
              </w:numPr>
              <w:tabs>
                <w:tab w:val="left" w:pos="-576"/>
                <w:tab w:val="left" w:pos="141"/>
              </w:tabs>
              <w:jc w:val="both"/>
              <w:rPr>
                <w:color w:val="000000"/>
              </w:rPr>
            </w:pPr>
            <w:r>
              <w:rPr>
                <w:rFonts w:ascii="Arial" w:eastAsia="Arial" w:hAnsi="Arial" w:cs="Arial"/>
                <w:color w:val="000000"/>
                <w:sz w:val="24"/>
                <w:szCs w:val="24"/>
              </w:rPr>
              <w:t xml:space="preserve">for the Testing of the Deliverables; and </w:t>
            </w:r>
          </w:p>
          <w:p w:rsidR="001A521A" w:rsidRDefault="00EA319E">
            <w:pPr>
              <w:numPr>
                <w:ilvl w:val="0"/>
                <w:numId w:val="9"/>
              </w:numPr>
              <w:tabs>
                <w:tab w:val="left" w:pos="-576"/>
                <w:tab w:val="left" w:pos="141"/>
              </w:tabs>
              <w:spacing w:after="120" w:line="240" w:lineRule="auto"/>
              <w:jc w:val="both"/>
              <w:rPr>
                <w:color w:val="000000"/>
              </w:rPr>
            </w:pPr>
            <w:r>
              <w:rPr>
                <w:rFonts w:ascii="Arial" w:eastAsia="Arial" w:hAnsi="Arial" w:cs="Arial"/>
                <w:color w:val="000000"/>
                <w:sz w:val="24"/>
                <w:szCs w:val="24"/>
              </w:rPr>
              <w:t>setting out other agreed criteria related to the achievement of Milestones;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“Third-party appointed Suppliers”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Approved third party</w:t>
            </w:r>
            <w:r>
              <w:rPr>
                <w:rFonts w:ascii="Arial" w:eastAsia="Arial" w:hAnsi="Arial" w:cs="Arial"/>
                <w:sz w:val="24"/>
                <w:szCs w:val="24"/>
              </w:rPr>
              <w:t xml:space="preserve"> sub supplier</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“Third party tenants”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An entity, who is not an affiliate of the Landlord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keepNext/>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1A521A" w:rsidRDefault="00EA319E">
            <w:pPr>
              <w:keepNext/>
              <w:tabs>
                <w:tab w:val="left" w:pos="-179"/>
                <w:tab w:val="left" w:pos="-9"/>
              </w:tabs>
              <w:spacing w:after="120" w:line="240" w:lineRule="auto"/>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w:t>
            </w:r>
          </w:p>
          <w:p w:rsidR="001A521A" w:rsidRDefault="00EA319E">
            <w:pPr>
              <w:keepNext/>
              <w:tabs>
                <w:tab w:val="left" w:pos="-179"/>
                <w:tab w:val="left" w:pos="-9"/>
              </w:tabs>
              <w:spacing w:after="120" w:line="240" w:lineRule="auto"/>
              <w:ind w:left="7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rsidR="001A521A" w:rsidRDefault="001A521A">
            <w:pPr>
              <w:keepNext/>
              <w:tabs>
                <w:tab w:val="left" w:pos="-179"/>
                <w:tab w:val="left" w:pos="-9"/>
              </w:tabs>
              <w:spacing w:after="120" w:line="240" w:lineRule="auto"/>
              <w:jc w:val="both"/>
              <w:rPr>
                <w:rFonts w:ascii="Arial" w:eastAsia="Arial" w:hAnsi="Arial" w:cs="Arial"/>
                <w:color w:val="000000"/>
                <w:sz w:val="24"/>
                <w:szCs w:val="24"/>
              </w:rPr>
            </w:pP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information relating to the Deliverables and performance of the Contracts which the Supplier is required to provide to the Buyer in accordance with the </w:t>
            </w:r>
            <w:r>
              <w:rPr>
                <w:rFonts w:ascii="Arial" w:eastAsia="Arial" w:hAnsi="Arial" w:cs="Arial"/>
                <w:color w:val="000000"/>
                <w:sz w:val="24"/>
                <w:szCs w:val="24"/>
              </w:rPr>
              <w:t>reporting requirements in Call-Off Schedule 1 (Transparency Reports);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“Train the Trainer approach”</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sz w:val="24"/>
                <w:szCs w:val="24"/>
              </w:rPr>
              <w:t>Train-the-Trainer is a framework for training potential instructors or subject matter experts to enable them to train other people in their organisations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"VCSE"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sz w:val="24"/>
                <w:szCs w:val="24"/>
              </w:rPr>
              <w:t>“WIP Reporting”</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sz w:val="24"/>
                <w:szCs w:val="24"/>
              </w:rPr>
              <w:t>Work in progress reporting</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"Worker"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w:t>
            </w:r>
          </w:p>
          <w:p w:rsidR="001A521A" w:rsidRDefault="00EA319E">
            <w:pPr>
              <w:tabs>
                <w:tab w:val="left" w:pos="-179"/>
                <w:tab w:val="left" w:pos="-9"/>
              </w:tabs>
              <w:spacing w:after="120" w:line="240" w:lineRule="auto"/>
              <w:rPr>
                <w:rFonts w:ascii="Arial" w:eastAsia="Arial" w:hAnsi="Arial" w:cs="Arial"/>
                <w:sz w:val="24"/>
                <w:szCs w:val="24"/>
              </w:rPr>
            </w:pPr>
            <w:hyperlink r:id="rId9">
              <w:r>
                <w:rPr>
                  <w:rFonts w:ascii="Arial" w:eastAsia="Arial" w:hAnsi="Arial" w:cs="Arial"/>
                  <w:b/>
                  <w:color w:val="1A73E8"/>
                  <w:sz w:val="24"/>
                  <w:szCs w:val="24"/>
                  <w:highlight w:val="white"/>
                </w:rPr>
                <w:t>https://www.gov.uk/government/publications/procurement-policy-note-0815-tax-arrangements-of-appointees</w:t>
              </w:r>
            </w:hyperlink>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"Work Day"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w:t>
            </w:r>
            <w:r>
              <w:rPr>
                <w:rFonts w:ascii="Arial" w:eastAsia="Arial" w:hAnsi="Arial" w:cs="Arial"/>
                <w:color w:val="000000"/>
                <w:sz w:val="24"/>
                <w:szCs w:val="24"/>
              </w:rPr>
              <w:t xml:space="preserve"> the same day; and</w:t>
            </w:r>
          </w:p>
        </w:tc>
      </w:tr>
      <w:tr w:rsidR="001A521A">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spacing w:after="120" w:line="240" w:lineRule="auto"/>
              <w:ind w:left="-108"/>
              <w:jc w:val="center"/>
              <w:rPr>
                <w:rFonts w:ascii="Arial" w:eastAsia="Arial" w:hAnsi="Arial" w:cs="Arial"/>
                <w:b/>
                <w:color w:val="000000"/>
                <w:sz w:val="24"/>
                <w:szCs w:val="24"/>
              </w:rPr>
            </w:pPr>
            <w:r>
              <w:rPr>
                <w:rFonts w:ascii="Arial" w:eastAsia="Arial" w:hAnsi="Arial" w:cs="Arial"/>
                <w:b/>
                <w:color w:val="000000"/>
                <w:sz w:val="24"/>
                <w:szCs w:val="24"/>
              </w:rPr>
              <w:t>"Work Hours"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1A521A" w:rsidRDefault="00EA319E">
            <w:pPr>
              <w:tabs>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w:t>
            </w:r>
            <w:r>
              <w:rPr>
                <w:rFonts w:ascii="Arial" w:eastAsia="Arial" w:hAnsi="Arial" w:cs="Arial"/>
                <w:color w:val="000000"/>
                <w:sz w:val="24"/>
                <w:szCs w:val="24"/>
              </w:rPr>
              <w:t>s.</w:t>
            </w:r>
          </w:p>
        </w:tc>
      </w:tr>
    </w:tbl>
    <w:p w:rsidR="001A521A" w:rsidRDefault="001A521A">
      <w:pPr>
        <w:spacing w:after="120" w:line="240" w:lineRule="auto"/>
        <w:ind w:left="-108"/>
        <w:jc w:val="center"/>
        <w:rPr>
          <w:rFonts w:ascii="Arial" w:eastAsia="Arial" w:hAnsi="Arial" w:cs="Arial"/>
          <w:sz w:val="24"/>
          <w:szCs w:val="24"/>
        </w:rPr>
      </w:pPr>
    </w:p>
    <w:sectPr w:rsidR="001A521A">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19E" w:rsidRDefault="00EA319E">
      <w:pPr>
        <w:spacing w:after="0" w:line="240" w:lineRule="auto"/>
      </w:pPr>
      <w:r>
        <w:separator/>
      </w:r>
    </w:p>
  </w:endnote>
  <w:endnote w:type="continuationSeparator" w:id="0">
    <w:p w:rsidR="00EA319E" w:rsidRDefault="00EA3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21A" w:rsidRDefault="00EA319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RM6168 - Estate Management Services</w:t>
    </w:r>
  </w:p>
  <w:p w:rsidR="001A521A" w:rsidRDefault="00EA319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highlight w:val="white"/>
      </w:rPr>
      <w:t>Contract Reference</w:t>
    </w:r>
    <w:r>
      <w:rPr>
        <w:rFonts w:ascii="Arial" w:eastAsia="Arial" w:hAnsi="Arial" w:cs="Arial"/>
        <w:sz w:val="20"/>
        <w:szCs w:val="20"/>
      </w:rPr>
      <w:t xml:space="preserve">: CCBO21A04  </w:t>
    </w:r>
    <w:r>
      <w:rPr>
        <w:rFonts w:ascii="Arial" w:eastAsia="Arial" w:hAnsi="Arial" w:cs="Arial"/>
        <w:sz w:val="20"/>
        <w:szCs w:val="20"/>
      </w:rPr>
      <w:tab/>
      <w:t xml:space="preserve">                                           </w:t>
    </w:r>
  </w:p>
  <w:p w:rsidR="001A521A" w:rsidRDefault="00EA319E">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rsidR="00702074">
      <w:fldChar w:fldCharType="separate"/>
    </w:r>
    <w:r w:rsidR="00702074">
      <w:rPr>
        <w:noProof/>
      </w:rPr>
      <w:t>1</w:t>
    </w:r>
    <w:r>
      <w:fldChar w:fldCharType="end"/>
    </w:r>
  </w:p>
  <w:p w:rsidR="001A521A" w:rsidRDefault="00EA31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19E" w:rsidRDefault="00EA319E">
      <w:pPr>
        <w:spacing w:after="0" w:line="240" w:lineRule="auto"/>
      </w:pPr>
      <w:r>
        <w:separator/>
      </w:r>
    </w:p>
  </w:footnote>
  <w:footnote w:type="continuationSeparator" w:id="0">
    <w:p w:rsidR="00EA319E" w:rsidRDefault="00EA31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21A" w:rsidRDefault="00EA319E">
    <w:pP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1A521A" w:rsidRDefault="00EA319E">
    <w:pPr>
      <w:tabs>
        <w:tab w:val="left" w:pos="3800"/>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BFBFB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C6A7A"/>
    <w:multiLevelType w:val="multilevel"/>
    <w:tmpl w:val="3A228C9E"/>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37A06FD"/>
    <w:multiLevelType w:val="multilevel"/>
    <w:tmpl w:val="9356B9FA"/>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4596A9B"/>
    <w:multiLevelType w:val="multilevel"/>
    <w:tmpl w:val="0AB2C8E2"/>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4C47763"/>
    <w:multiLevelType w:val="multilevel"/>
    <w:tmpl w:val="E0444700"/>
    <w:lvl w:ilvl="0">
      <w:start w:val="1"/>
      <w:numFmt w:val="lowerLetter"/>
      <w:lvlText w:val="%1)"/>
      <w:lvlJc w:val="left"/>
      <w:pPr>
        <w:ind w:left="432" w:hanging="262"/>
      </w:pPr>
      <w:rPr>
        <w:rFonts w:ascii="Arial" w:eastAsia="Arial" w:hAnsi="Arial" w:cs="Arial"/>
        <w:sz w:val="24"/>
        <w:szCs w:val="24"/>
      </w:rPr>
    </w:lvl>
    <w:lvl w:ilvl="1">
      <w:start w:val="1"/>
      <w:numFmt w:val="lowerLetter"/>
      <w:lvlText w:val="%2)"/>
      <w:lvlJc w:val="left"/>
      <w:pPr>
        <w:ind w:left="890" w:hanging="360"/>
      </w:pPr>
      <w:rPr>
        <w:b w:val="0"/>
        <w:i w:val="0"/>
        <w:smallCaps w:val="0"/>
        <w:strike w:val="0"/>
        <w:color w:val="00000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05CB7F83"/>
    <w:multiLevelType w:val="multilevel"/>
    <w:tmpl w:val="0D06EBE0"/>
    <w:lvl w:ilvl="0">
      <w:start w:val="1"/>
      <w:numFmt w:val="decimal"/>
      <w:lvlText w:val="%1."/>
      <w:lvlJc w:val="left"/>
      <w:pPr>
        <w:ind w:left="644" w:hanging="357"/>
      </w:pPr>
      <w:rPr>
        <w:smallCaps w:val="0"/>
        <w:strike w:val="0"/>
        <w:color w:val="000000"/>
        <w:sz w:val="22"/>
        <w:szCs w:val="22"/>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A614CCD"/>
    <w:multiLevelType w:val="multilevel"/>
    <w:tmpl w:val="586A724C"/>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0E2F4321"/>
    <w:multiLevelType w:val="multilevel"/>
    <w:tmpl w:val="1A964C92"/>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A0A2808"/>
    <w:multiLevelType w:val="multilevel"/>
    <w:tmpl w:val="FF2A9B06"/>
    <w:lvl w:ilvl="0">
      <w:start w:val="1"/>
      <w:numFmt w:val="lowerLetter"/>
      <w:lvlText w:val="%1)"/>
      <w:lvlJc w:val="left"/>
      <w:pPr>
        <w:ind w:left="432" w:hanging="262"/>
      </w:pPr>
      <w:rPr>
        <w:rFonts w:ascii="Arial" w:eastAsia="Arial" w:hAnsi="Arial" w:cs="Arial"/>
        <w:sz w:val="24"/>
        <w:szCs w:val="24"/>
      </w:rPr>
    </w:lvl>
    <w:lvl w:ilvl="1">
      <w:start w:val="1"/>
      <w:numFmt w:val="lowerLetter"/>
      <w:lvlText w:val="%2)"/>
      <w:lvlJc w:val="left"/>
      <w:pPr>
        <w:ind w:left="890" w:hanging="360"/>
      </w:pPr>
      <w:rPr>
        <w:b w:val="0"/>
        <w:i w:val="0"/>
        <w:smallCaps w:val="0"/>
        <w:strike w:val="0"/>
        <w:color w:val="00000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8" w15:restartNumberingAfterBreak="0">
    <w:nsid w:val="219E60D0"/>
    <w:multiLevelType w:val="multilevel"/>
    <w:tmpl w:val="8BA81A9E"/>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4EC37BB"/>
    <w:multiLevelType w:val="multilevel"/>
    <w:tmpl w:val="59987028"/>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24F57881"/>
    <w:multiLevelType w:val="multilevel"/>
    <w:tmpl w:val="61149B58"/>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9C358D1"/>
    <w:multiLevelType w:val="multilevel"/>
    <w:tmpl w:val="00ECD278"/>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0637CB2"/>
    <w:multiLevelType w:val="multilevel"/>
    <w:tmpl w:val="0D1AFE92"/>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31067E89"/>
    <w:multiLevelType w:val="multilevel"/>
    <w:tmpl w:val="44061D82"/>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704187D"/>
    <w:multiLevelType w:val="multilevel"/>
    <w:tmpl w:val="3296FA00"/>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561BE"/>
    <w:multiLevelType w:val="multilevel"/>
    <w:tmpl w:val="EE62EC36"/>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39B18A3"/>
    <w:multiLevelType w:val="multilevel"/>
    <w:tmpl w:val="C3E270E2"/>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6B774CB"/>
    <w:multiLevelType w:val="multilevel"/>
    <w:tmpl w:val="B4441AA6"/>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453734"/>
    <w:multiLevelType w:val="multilevel"/>
    <w:tmpl w:val="028E5F84"/>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60FF69E4"/>
    <w:multiLevelType w:val="multilevel"/>
    <w:tmpl w:val="290AF08E"/>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EEF0D2C"/>
    <w:multiLevelType w:val="multilevel"/>
    <w:tmpl w:val="2A44E8A0"/>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727D033D"/>
    <w:multiLevelType w:val="multilevel"/>
    <w:tmpl w:val="C34EF896"/>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4E54AD4"/>
    <w:multiLevelType w:val="multilevel"/>
    <w:tmpl w:val="DD127582"/>
    <w:lvl w:ilvl="0">
      <w:start w:val="1"/>
      <w:numFmt w:val="lowerLetter"/>
      <w:lvlText w:val="%1)"/>
      <w:lvlJc w:val="left"/>
      <w:pPr>
        <w:ind w:left="720" w:hanging="360"/>
      </w:pPr>
      <w:rPr>
        <w:rFonts w:ascii="Arial" w:eastAsia="Arial" w:hAnsi="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6"/>
  </w:num>
  <w:num w:numId="2">
    <w:abstractNumId w:val="5"/>
  </w:num>
  <w:num w:numId="3">
    <w:abstractNumId w:val="8"/>
  </w:num>
  <w:num w:numId="4">
    <w:abstractNumId w:val="13"/>
  </w:num>
  <w:num w:numId="5">
    <w:abstractNumId w:val="11"/>
  </w:num>
  <w:num w:numId="6">
    <w:abstractNumId w:val="0"/>
  </w:num>
  <w:num w:numId="7">
    <w:abstractNumId w:val="1"/>
  </w:num>
  <w:num w:numId="8">
    <w:abstractNumId w:val="10"/>
  </w:num>
  <w:num w:numId="9">
    <w:abstractNumId w:val="2"/>
  </w:num>
  <w:num w:numId="10">
    <w:abstractNumId w:val="7"/>
  </w:num>
  <w:num w:numId="11">
    <w:abstractNumId w:val="17"/>
  </w:num>
  <w:num w:numId="12">
    <w:abstractNumId w:val="18"/>
  </w:num>
  <w:num w:numId="13">
    <w:abstractNumId w:val="21"/>
  </w:num>
  <w:num w:numId="14">
    <w:abstractNumId w:val="6"/>
  </w:num>
  <w:num w:numId="15">
    <w:abstractNumId w:val="20"/>
  </w:num>
  <w:num w:numId="16">
    <w:abstractNumId w:val="22"/>
  </w:num>
  <w:num w:numId="17">
    <w:abstractNumId w:val="12"/>
  </w:num>
  <w:num w:numId="18">
    <w:abstractNumId w:val="19"/>
  </w:num>
  <w:num w:numId="19">
    <w:abstractNumId w:val="3"/>
  </w:num>
  <w:num w:numId="20">
    <w:abstractNumId w:val="9"/>
  </w:num>
  <w:num w:numId="21">
    <w:abstractNumId w:val="4"/>
  </w:num>
  <w:num w:numId="22">
    <w:abstractNumId w:val="15"/>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21A"/>
    <w:rsid w:val="001A521A"/>
    <w:rsid w:val="00702074"/>
    <w:rsid w:val="00EA31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DC8F0F-74E0-4BA2-B8EE-B4B004D8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line="240" w:lineRule="auto"/>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publications/procurement-policy-note-0815-tax-arrangements-of-appointe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9771</Words>
  <Characters>55700</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Hughes</dc:creator>
  <cp:lastModifiedBy>Kelly Hughes</cp:lastModifiedBy>
  <cp:revision>2</cp:revision>
  <dcterms:created xsi:type="dcterms:W3CDTF">2022-07-18T13:04:00Z</dcterms:created>
  <dcterms:modified xsi:type="dcterms:W3CDTF">2022-07-18T13:04:00Z</dcterms:modified>
</cp:coreProperties>
</file>